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7AD0" w14:textId="22FCD298" w:rsidR="008A0622" w:rsidRPr="00752DE7" w:rsidRDefault="008A0622" w:rsidP="0058436C">
      <w:pPr>
        <w:jc w:val="center"/>
        <w:rPr>
          <w:rFonts w:ascii="Lucida Bright" w:hAnsi="Lucida Bright"/>
          <w:sz w:val="32"/>
          <w:szCs w:val="32"/>
        </w:rPr>
      </w:pPr>
      <w:r w:rsidRPr="00FC1890">
        <w:rPr>
          <w:rStyle w:val="TitleChar"/>
        </w:rPr>
        <w:t xml:space="preserve">Student </w:t>
      </w:r>
      <w:r w:rsidR="00287110" w:rsidRPr="00FC1890">
        <w:rPr>
          <w:rStyle w:val="TitleChar"/>
        </w:rPr>
        <w:t>Services Statement</w:t>
      </w:r>
      <w:r w:rsidRPr="00752DE7">
        <w:rPr>
          <w:rFonts w:ascii="Lucida Bright" w:hAnsi="Lucida Bright"/>
          <w:b/>
          <w:sz w:val="32"/>
          <w:szCs w:val="32"/>
        </w:rPr>
        <w:br/>
      </w:r>
      <w:r w:rsidRPr="003D7084">
        <w:rPr>
          <w:rStyle w:val="TitleChar"/>
        </w:rPr>
        <w:t>[St. George Campus]</w:t>
      </w:r>
    </w:p>
    <w:p w14:paraId="44CA7E4B" w14:textId="77777777" w:rsidR="00C14238" w:rsidRDefault="00C14238" w:rsidP="00B33992">
      <w:pPr>
        <w:spacing w:before="120"/>
        <w:rPr>
          <w:rFonts w:ascii="Calibri" w:hAnsi="Calibri"/>
        </w:rPr>
      </w:pPr>
    </w:p>
    <w:p w14:paraId="75FC5F91" w14:textId="52F1CA6E" w:rsidR="00DC4A35" w:rsidRPr="00FC1890" w:rsidRDefault="008A0622" w:rsidP="00FC1890">
      <w:r>
        <w:t xml:space="preserve">All </w:t>
      </w:r>
      <w:r w:rsidR="00DC4A35">
        <w:t>University of Toronto undergraduate and graduate students have access to student services on all three campuses, Mississauga, St. George (downtown Toronto), and Scarborough, regardless of their ‘home campus’.</w:t>
      </w:r>
      <w:r w:rsidR="00C14238">
        <w:t xml:space="preserve"> </w:t>
      </w:r>
      <w:r w:rsidR="00DC4A35">
        <w:t xml:space="preserve">The services and </w:t>
      </w:r>
      <w:r>
        <w:t xml:space="preserve">co-curricular educational opportunities </w:t>
      </w:r>
      <w:r w:rsidR="00DC4A35">
        <w:t>provide a</w:t>
      </w:r>
      <w:r>
        <w:t xml:space="preserve"> complement </w:t>
      </w:r>
      <w:r w:rsidR="00DC4A35">
        <w:t xml:space="preserve">to </w:t>
      </w:r>
      <w:r>
        <w:t xml:space="preserve">the formal curriculum </w:t>
      </w:r>
      <w:r w:rsidR="00DC4A35">
        <w:t xml:space="preserve">by engaging and challenging students to reach </w:t>
      </w:r>
      <w:r>
        <w:t xml:space="preserve">their full potential as learners, </w:t>
      </w:r>
      <w:proofErr w:type="gramStart"/>
      <w:r>
        <w:t>leaders</w:t>
      </w:r>
      <w:proofErr w:type="gramEnd"/>
      <w:r>
        <w:t xml:space="preserve"> and citizens.</w:t>
      </w:r>
      <w:r w:rsidR="00C14238">
        <w:t xml:space="preserve"> </w:t>
      </w:r>
      <w:r w:rsidR="00A453CE">
        <w:t xml:space="preserve">At the University of Toronto (St. George Campus) these services are organized by </w:t>
      </w:r>
      <w:hyperlink r:id="rId10" w:history="1">
        <w:r w:rsidR="00A453CE" w:rsidRPr="00585BDE">
          <w:rPr>
            <w:rStyle w:val="Hyperlink"/>
          </w:rPr>
          <w:t>Student Life</w:t>
        </w:r>
      </w:hyperlink>
      <w:r w:rsidR="00A453CE">
        <w:t xml:space="preserve">, the academic division registrar </w:t>
      </w:r>
      <w:r w:rsidR="00AD47C4">
        <w:t xml:space="preserve">and local student life </w:t>
      </w:r>
      <w:r w:rsidR="00A453CE">
        <w:t xml:space="preserve">offices, </w:t>
      </w:r>
      <w:r w:rsidR="001D2FEC">
        <w:t xml:space="preserve">and </w:t>
      </w:r>
      <w:r w:rsidR="00A453CE">
        <w:t xml:space="preserve">the </w:t>
      </w:r>
      <w:hyperlink r:id="rId11" w:history="1">
        <w:r w:rsidR="00A453CE" w:rsidRPr="00E94EA6">
          <w:rPr>
            <w:rStyle w:val="Hyperlink"/>
          </w:rPr>
          <w:t>School of Graduate Studies</w:t>
        </w:r>
      </w:hyperlink>
      <w:r w:rsidR="00484617">
        <w:t>.</w:t>
      </w:r>
      <w:r w:rsidR="00A453CE">
        <w:t xml:space="preserve"> </w:t>
      </w:r>
      <w:r w:rsidR="001D2FEC">
        <w:t xml:space="preserve">All these services combine to </w:t>
      </w:r>
      <w:r w:rsidR="00A453CE">
        <w:t>support the success of our students from the time they are admitted through degree comple</w:t>
      </w:r>
      <w:r w:rsidR="003F6AB8">
        <w:t>tion and beyond.</w:t>
      </w:r>
    </w:p>
    <w:p w14:paraId="03E6E9AB" w14:textId="77777777" w:rsidR="00FC1890" w:rsidRDefault="00FC1890" w:rsidP="00FC1890"/>
    <w:p w14:paraId="47C849D7" w14:textId="22EF12F3" w:rsidR="40638C73" w:rsidRDefault="008A0622" w:rsidP="157DAF66">
      <w:r>
        <w:t xml:space="preserve">Students have access to comprehensive </w:t>
      </w:r>
      <w:r w:rsidRPr="157DAF66">
        <w:rPr>
          <w:rStyle w:val="Strong"/>
        </w:rPr>
        <w:t>physical and mental health care</w:t>
      </w:r>
      <w:r>
        <w:t xml:space="preserve"> on campus</w:t>
      </w:r>
      <w:r w:rsidR="00FB33DB">
        <w:t>,</w:t>
      </w:r>
      <w:r>
        <w:t xml:space="preserve"> including a medical clinic, travel medicine services, immunization, </w:t>
      </w:r>
      <w:proofErr w:type="gramStart"/>
      <w:r>
        <w:t>contraception</w:t>
      </w:r>
      <w:proofErr w:type="gramEnd"/>
      <w:r>
        <w:t xml:space="preserve"> and sexual health education.</w:t>
      </w:r>
      <w:r w:rsidR="00C14238">
        <w:t xml:space="preserve"> </w:t>
      </w:r>
      <w:r>
        <w:t xml:space="preserve"> Counselling and treatment options for psychological and emotional concerns include psychotherapy, group therapy and pharmacotherapy, as well as specialized assault counsel</w:t>
      </w:r>
      <w:r w:rsidR="00FB33DB">
        <w:t>l</w:t>
      </w:r>
      <w:r>
        <w:t>ing services</w:t>
      </w:r>
      <w:r w:rsidR="001D2FEC">
        <w:t xml:space="preserve"> provided both by the </w:t>
      </w:r>
      <w:hyperlink r:id="rId12" w:history="1">
        <w:r w:rsidR="00BE5CA6" w:rsidRPr="00E94EA6">
          <w:rPr>
            <w:rStyle w:val="Hyperlink"/>
          </w:rPr>
          <w:t>H</w:t>
        </w:r>
        <w:r w:rsidR="001D2FEC" w:rsidRPr="00E94EA6">
          <w:rPr>
            <w:rStyle w:val="Hyperlink"/>
          </w:rPr>
          <w:t xml:space="preserve">ealth and </w:t>
        </w:r>
        <w:r w:rsidR="00BE5CA6" w:rsidRPr="00E94EA6">
          <w:rPr>
            <w:rStyle w:val="Hyperlink"/>
          </w:rPr>
          <w:t>W</w:t>
        </w:r>
        <w:r w:rsidR="001D2FEC" w:rsidRPr="00E94EA6">
          <w:rPr>
            <w:rStyle w:val="Hyperlink"/>
          </w:rPr>
          <w:t xml:space="preserve">ellness </w:t>
        </w:r>
        <w:r w:rsidR="00BE5CA6" w:rsidRPr="00E94EA6">
          <w:rPr>
            <w:rStyle w:val="Hyperlink"/>
          </w:rPr>
          <w:t>C</w:t>
        </w:r>
        <w:r w:rsidR="001D2FEC" w:rsidRPr="00E94EA6">
          <w:rPr>
            <w:rStyle w:val="Hyperlink"/>
          </w:rPr>
          <w:t>entre</w:t>
        </w:r>
      </w:hyperlink>
      <w:r w:rsidR="001D2FEC">
        <w:t xml:space="preserve"> and the </w:t>
      </w:r>
      <w:hyperlink r:id="rId13" w:history="1">
        <w:r w:rsidR="001D2FEC" w:rsidRPr="00E94EA6">
          <w:rPr>
            <w:rStyle w:val="Hyperlink"/>
          </w:rPr>
          <w:t>Sexual Violence Prevention and Support Centre</w:t>
        </w:r>
      </w:hyperlink>
      <w:r w:rsidR="001D2FEC">
        <w:t>.</w:t>
      </w:r>
      <w:r w:rsidR="00C14238">
        <w:t xml:space="preserve"> </w:t>
      </w:r>
      <w:r w:rsidR="001D2FEC">
        <w:t xml:space="preserve">In addition, </w:t>
      </w:r>
      <w:proofErr w:type="gramStart"/>
      <w:r w:rsidR="001D2FEC">
        <w:t>a large number of</w:t>
      </w:r>
      <w:proofErr w:type="gramEnd"/>
      <w:r w:rsidR="001D2FEC">
        <w:t xml:space="preserve"> wellness programs are provided</w:t>
      </w:r>
      <w:r w:rsidR="00FB33DB">
        <w:t>,</w:t>
      </w:r>
      <w:r w:rsidR="001D2FEC">
        <w:t xml:space="preserve"> such as mindful meditation, </w:t>
      </w:r>
      <w:r w:rsidR="00FE5B2B">
        <w:t>workshops on coping skills and stress management.</w:t>
      </w:r>
      <w:r w:rsidR="00AD47C4">
        <w:t xml:space="preserve"> All students on all campuses have access to</w:t>
      </w:r>
      <w:r w:rsidR="00351927">
        <w:t xml:space="preserve"> </w:t>
      </w:r>
      <w:hyperlink r:id="rId14" w:history="1">
        <w:proofErr w:type="spellStart"/>
        <w:r w:rsidR="00351927" w:rsidRPr="00E94EA6">
          <w:rPr>
            <w:rStyle w:val="Hyperlink"/>
          </w:rPr>
          <w:t>UofT</w:t>
        </w:r>
        <w:proofErr w:type="spellEnd"/>
        <w:r w:rsidR="00351927" w:rsidRPr="00E94EA6">
          <w:rPr>
            <w:rStyle w:val="Hyperlink"/>
          </w:rPr>
          <w:t xml:space="preserve"> </w:t>
        </w:r>
        <w:proofErr w:type="spellStart"/>
        <w:r w:rsidR="00351927" w:rsidRPr="00E94EA6">
          <w:rPr>
            <w:rStyle w:val="Hyperlink"/>
          </w:rPr>
          <w:t>MySPP</w:t>
        </w:r>
        <w:proofErr w:type="spellEnd"/>
      </w:hyperlink>
      <w:r w:rsidR="00351927">
        <w:t xml:space="preserve">, a </w:t>
      </w:r>
      <w:r w:rsidR="00AD47C4">
        <w:t xml:space="preserve">multilingual immediate and/or ongoing confidential, 24-hour </w:t>
      </w:r>
      <w:r w:rsidR="00351927">
        <w:t xml:space="preserve">counseling </w:t>
      </w:r>
      <w:r w:rsidR="00FC1890">
        <w:t>support for any school, health</w:t>
      </w:r>
      <w:r w:rsidR="00AD47C4">
        <w:t xml:space="preserve"> or general life concern at no cost to students</w:t>
      </w:r>
      <w:r w:rsidR="00351927">
        <w:t>.</w:t>
      </w:r>
    </w:p>
    <w:p w14:paraId="6DEB2DFE" w14:textId="1E204093" w:rsidR="008A0622" w:rsidRPr="00FC1890" w:rsidRDefault="00351927" w:rsidP="00FC1890">
      <w:r w:rsidRPr="00FC1890">
        <w:t xml:space="preserve">  </w:t>
      </w:r>
    </w:p>
    <w:p w14:paraId="19D0F601" w14:textId="18977638" w:rsidR="00FC1890" w:rsidRDefault="008A0622" w:rsidP="00F56378">
      <w:pPr>
        <w:spacing w:before="120"/>
        <w:rPr>
          <w:rFonts w:ascii="Calibri" w:hAnsi="Calibri"/>
        </w:rPr>
      </w:pPr>
      <w:r w:rsidRPr="157DAF66">
        <w:rPr>
          <w:rStyle w:val="Strong"/>
        </w:rPr>
        <w:t>Housing</w:t>
      </w:r>
      <w:r w:rsidRPr="157DAF66">
        <w:rPr>
          <w:rFonts w:ascii="Calibri" w:hAnsi="Calibri"/>
        </w:rPr>
        <w:t xml:space="preserve"> needs, including </w:t>
      </w:r>
      <w:r w:rsidR="00592CA5" w:rsidRPr="157DAF66">
        <w:rPr>
          <w:rFonts w:ascii="Calibri" w:hAnsi="Calibri"/>
        </w:rPr>
        <w:t xml:space="preserve">residence application assistance, </w:t>
      </w:r>
      <w:r w:rsidRPr="157DAF66">
        <w:rPr>
          <w:rFonts w:ascii="Calibri" w:hAnsi="Calibri"/>
        </w:rPr>
        <w:t>off-campus housing listings</w:t>
      </w:r>
      <w:r w:rsidR="22F27A40" w:rsidRPr="157DAF66">
        <w:rPr>
          <w:rFonts w:ascii="Calibri" w:hAnsi="Calibri"/>
        </w:rPr>
        <w:t>,</w:t>
      </w:r>
      <w:r w:rsidRPr="157DAF66">
        <w:rPr>
          <w:rFonts w:ascii="Calibri" w:hAnsi="Calibri"/>
        </w:rPr>
        <w:t xml:space="preserve"> and resources for students</w:t>
      </w:r>
      <w:r w:rsidR="00592CA5" w:rsidRPr="157DAF66">
        <w:rPr>
          <w:rFonts w:ascii="Calibri" w:hAnsi="Calibri"/>
        </w:rPr>
        <w:t xml:space="preserve"> on the rental housing search, tenant rights and responsibilities</w:t>
      </w:r>
      <w:r w:rsidRPr="157DAF66">
        <w:rPr>
          <w:rFonts w:ascii="Calibri" w:hAnsi="Calibri"/>
        </w:rPr>
        <w:t xml:space="preserve">, </w:t>
      </w:r>
      <w:r w:rsidR="2BF14F18" w:rsidRPr="157DAF66">
        <w:rPr>
          <w:rFonts w:ascii="Calibri" w:hAnsi="Calibri"/>
        </w:rPr>
        <w:t>a</w:t>
      </w:r>
      <w:r w:rsidR="7FE6B8AA" w:rsidRPr="157DAF66">
        <w:rPr>
          <w:rFonts w:ascii="Calibri" w:hAnsi="Calibri"/>
        </w:rPr>
        <w:t>s well as</w:t>
      </w:r>
      <w:r w:rsidR="2BF14F18" w:rsidRPr="157DAF66">
        <w:rPr>
          <w:rFonts w:ascii="Calibri" w:hAnsi="Calibri"/>
        </w:rPr>
        <w:t xml:space="preserve"> assistance with finding temporary/urgent </w:t>
      </w:r>
      <w:r w:rsidR="5EB4F921" w:rsidRPr="157DAF66">
        <w:rPr>
          <w:rFonts w:ascii="Calibri" w:hAnsi="Calibri"/>
        </w:rPr>
        <w:t xml:space="preserve">overnight </w:t>
      </w:r>
      <w:r w:rsidR="2BF14F18" w:rsidRPr="157DAF66">
        <w:rPr>
          <w:rFonts w:ascii="Calibri" w:hAnsi="Calibri"/>
        </w:rPr>
        <w:t xml:space="preserve">accommodation, </w:t>
      </w:r>
      <w:r w:rsidRPr="157DAF66">
        <w:rPr>
          <w:rFonts w:ascii="Calibri" w:hAnsi="Calibri"/>
        </w:rPr>
        <w:t xml:space="preserve">are met through the </w:t>
      </w:r>
      <w:hyperlink r:id="rId15" w:history="1">
        <w:r w:rsidRPr="00E94EA6">
          <w:rPr>
            <w:rStyle w:val="Hyperlink"/>
            <w:rFonts w:ascii="Calibri" w:hAnsi="Calibri"/>
          </w:rPr>
          <w:t>Housing Service</w:t>
        </w:r>
        <w:r w:rsidR="00BD1A18" w:rsidRPr="00E94EA6">
          <w:rPr>
            <w:rStyle w:val="Hyperlink"/>
            <w:rFonts w:ascii="Calibri" w:hAnsi="Calibri"/>
          </w:rPr>
          <w:t>s</w:t>
        </w:r>
      </w:hyperlink>
      <w:r w:rsidRPr="157DAF66">
        <w:rPr>
          <w:rFonts w:ascii="Calibri" w:hAnsi="Calibri"/>
        </w:rPr>
        <w:t>.</w:t>
      </w:r>
    </w:p>
    <w:p w14:paraId="72504DE6" w14:textId="546AA1E0" w:rsidR="008A0622" w:rsidRPr="00752DE7" w:rsidRDefault="008A0622" w:rsidP="00F56378">
      <w:pPr>
        <w:spacing w:before="120"/>
        <w:rPr>
          <w:rFonts w:ascii="Calibri" w:hAnsi="Calibri"/>
        </w:rPr>
      </w:pPr>
      <w:r w:rsidRPr="00752DE7">
        <w:rPr>
          <w:rFonts w:ascii="Calibri" w:hAnsi="Calibri"/>
        </w:rPr>
        <w:t xml:space="preserve"> </w:t>
      </w:r>
    </w:p>
    <w:p w14:paraId="0DC96EAA" w14:textId="1265815E" w:rsidR="008A0622" w:rsidRPr="00752DE7" w:rsidRDefault="008A0622" w:rsidP="00F56378">
      <w:pPr>
        <w:spacing w:before="120"/>
        <w:rPr>
          <w:rFonts w:ascii="Calibri" w:hAnsi="Calibri"/>
        </w:rPr>
      </w:pPr>
      <w:r w:rsidRPr="00752DE7">
        <w:rPr>
          <w:rFonts w:ascii="Calibri" w:hAnsi="Calibri"/>
        </w:rPr>
        <w:t xml:space="preserve">Coaching and education in the development of key </w:t>
      </w:r>
      <w:r w:rsidRPr="00FC1890">
        <w:rPr>
          <w:rStyle w:val="Strong"/>
        </w:rPr>
        <w:t>learning skills</w:t>
      </w:r>
      <w:r w:rsidRPr="00752DE7">
        <w:rPr>
          <w:rFonts w:ascii="Calibri" w:hAnsi="Calibri"/>
        </w:rPr>
        <w:t xml:space="preserve"> </w:t>
      </w:r>
      <w:r w:rsidR="00FC1890">
        <w:rPr>
          <w:rFonts w:ascii="Calibri" w:hAnsi="Calibri"/>
        </w:rPr>
        <w:t>—</w:t>
      </w:r>
      <w:r w:rsidRPr="00752DE7">
        <w:rPr>
          <w:rFonts w:ascii="Calibri" w:hAnsi="Calibri"/>
        </w:rPr>
        <w:t xml:space="preserve"> from time management to </w:t>
      </w:r>
      <w:r w:rsidR="00592CA5">
        <w:rPr>
          <w:rFonts w:ascii="Calibri" w:hAnsi="Calibri"/>
        </w:rPr>
        <w:t>reducing</w:t>
      </w:r>
      <w:r w:rsidR="00592CA5" w:rsidRPr="00752DE7">
        <w:rPr>
          <w:rFonts w:ascii="Calibri" w:hAnsi="Calibri"/>
        </w:rPr>
        <w:t xml:space="preserve"> </w:t>
      </w:r>
      <w:r w:rsidRPr="00752DE7">
        <w:rPr>
          <w:rFonts w:ascii="Calibri" w:hAnsi="Calibri"/>
        </w:rPr>
        <w:t xml:space="preserve">exam anxiety </w:t>
      </w:r>
      <w:r w:rsidR="00FC1890">
        <w:rPr>
          <w:rFonts w:ascii="Calibri" w:hAnsi="Calibri"/>
        </w:rPr>
        <w:t>—</w:t>
      </w:r>
      <w:r w:rsidRPr="00752DE7">
        <w:rPr>
          <w:rFonts w:ascii="Calibri" w:hAnsi="Calibri"/>
        </w:rPr>
        <w:t xml:space="preserve"> is provided through </w:t>
      </w:r>
      <w:hyperlink r:id="rId16" w:history="1">
        <w:r w:rsidRPr="00E94EA6">
          <w:rPr>
            <w:rStyle w:val="Hyperlink"/>
            <w:b/>
          </w:rPr>
          <w:t>Academic Success</w:t>
        </w:r>
      </w:hyperlink>
      <w:r w:rsidRPr="00752DE7">
        <w:rPr>
          <w:rFonts w:ascii="Calibri" w:hAnsi="Calibri"/>
        </w:rPr>
        <w:t>.</w:t>
      </w:r>
      <w:r w:rsidR="00C14238">
        <w:rPr>
          <w:rFonts w:ascii="Calibri" w:hAnsi="Calibri"/>
        </w:rPr>
        <w:t xml:space="preserve"> </w:t>
      </w:r>
      <w:r w:rsidR="00592CA5">
        <w:rPr>
          <w:rFonts w:ascii="Calibri" w:hAnsi="Calibri"/>
        </w:rPr>
        <w:t xml:space="preserve">Academic Success </w:t>
      </w:r>
      <w:r w:rsidRPr="00752DE7">
        <w:rPr>
          <w:rFonts w:ascii="Calibri" w:hAnsi="Calibri"/>
        </w:rPr>
        <w:t>also partners with faculty to integrate success strategies and support into the curriculum.</w:t>
      </w:r>
    </w:p>
    <w:p w14:paraId="03A717D9" w14:textId="69F3DA18" w:rsidR="008A0622" w:rsidRDefault="5135587B" w:rsidP="3B391A44">
      <w:pPr>
        <w:spacing w:before="120"/>
        <w:rPr>
          <w:rFonts w:ascii="Calibri" w:hAnsi="Calibri"/>
        </w:rPr>
      </w:pPr>
      <w:r w:rsidRPr="00BE5CA6">
        <w:rPr>
          <w:rFonts w:eastAsiaTheme="minorEastAsia" w:cstheme="minorBidi"/>
        </w:rPr>
        <w:t>Students</w:t>
      </w:r>
      <w:r w:rsidR="57626597" w:rsidRPr="00BE5CA6">
        <w:rPr>
          <w:rFonts w:eastAsiaTheme="minorEastAsia" w:cstheme="minorBidi"/>
        </w:rPr>
        <w:t xml:space="preserve"> </w:t>
      </w:r>
      <w:r w:rsidR="57626597" w:rsidRPr="00BE5CA6">
        <w:rPr>
          <w:rFonts w:eastAsiaTheme="minorEastAsia" w:cstheme="minorBidi"/>
          <w:color w:val="000000" w:themeColor="text1"/>
        </w:rPr>
        <w:t xml:space="preserve">can explore what to do with their degree, discover job opportunities and further education </w:t>
      </w:r>
      <w:r w:rsidR="72471C88" w:rsidRPr="00BE5CA6">
        <w:rPr>
          <w:rFonts w:eastAsiaTheme="minorEastAsia" w:cstheme="minorBidi"/>
          <w:color w:val="000000" w:themeColor="text1"/>
        </w:rPr>
        <w:t xml:space="preserve">by </w:t>
      </w:r>
      <w:r w:rsidR="08BD720F" w:rsidRPr="00BE5CA6">
        <w:rPr>
          <w:rFonts w:eastAsiaTheme="minorEastAsia" w:cstheme="minorBidi"/>
          <w:color w:val="000000" w:themeColor="text1"/>
        </w:rPr>
        <w:t>accessing programs, services and resources designed and delivered by</w:t>
      </w:r>
      <w:r w:rsidRPr="00BE5CA6">
        <w:rPr>
          <w:rFonts w:eastAsiaTheme="minorEastAsia" w:cstheme="minorBidi"/>
        </w:rPr>
        <w:t xml:space="preserve"> </w:t>
      </w:r>
      <w:hyperlink r:id="rId17" w:history="1">
        <w:r w:rsidRPr="00E94EA6">
          <w:rPr>
            <w:rStyle w:val="Hyperlink"/>
            <w:rFonts w:eastAsiaTheme="minorEastAsia" w:cstheme="minorBidi"/>
            <w:b/>
          </w:rPr>
          <w:t>Career</w:t>
        </w:r>
        <w:r w:rsidR="7BB9CBB0" w:rsidRPr="00E94EA6">
          <w:rPr>
            <w:rStyle w:val="Hyperlink"/>
            <w:rFonts w:eastAsiaTheme="minorEastAsia" w:cstheme="minorBidi"/>
            <w:b/>
          </w:rPr>
          <w:t xml:space="preserve"> Exploration &amp; Education</w:t>
        </w:r>
      </w:hyperlink>
      <w:r w:rsidR="21D1488E" w:rsidRPr="00BE5CA6">
        <w:rPr>
          <w:rStyle w:val="Strong"/>
          <w:rFonts w:eastAsiaTheme="minorEastAsia" w:cstheme="minorBidi"/>
          <w:b w:val="0"/>
          <w:bCs w:val="0"/>
        </w:rPr>
        <w:t>.</w:t>
      </w:r>
      <w:r w:rsidR="175C70CD" w:rsidRPr="00BE5CA6">
        <w:rPr>
          <w:rStyle w:val="Strong"/>
          <w:rFonts w:eastAsiaTheme="minorEastAsia" w:cstheme="minorBidi"/>
          <w:b w:val="0"/>
          <w:bCs w:val="0"/>
        </w:rPr>
        <w:t xml:space="preserve"> </w:t>
      </w:r>
      <w:r w:rsidR="25591667" w:rsidRPr="157DAF66">
        <w:rPr>
          <w:rStyle w:val="Strong"/>
          <w:rFonts w:eastAsiaTheme="minorEastAsia" w:cstheme="minorBidi"/>
          <w:b w:val="0"/>
          <w:bCs w:val="0"/>
        </w:rPr>
        <w:t xml:space="preserve">Through workshops, appointments, </w:t>
      </w:r>
      <w:proofErr w:type="gramStart"/>
      <w:r w:rsidR="25591667" w:rsidRPr="157DAF66">
        <w:rPr>
          <w:rStyle w:val="Strong"/>
          <w:rFonts w:eastAsiaTheme="minorEastAsia" w:cstheme="minorBidi"/>
          <w:b w:val="0"/>
          <w:bCs w:val="0"/>
        </w:rPr>
        <w:t>events</w:t>
      </w:r>
      <w:proofErr w:type="gramEnd"/>
      <w:r w:rsidR="25591667" w:rsidRPr="157DAF66">
        <w:rPr>
          <w:rStyle w:val="Strong"/>
          <w:rFonts w:eastAsiaTheme="minorEastAsia" w:cstheme="minorBidi"/>
          <w:b w:val="0"/>
          <w:bCs w:val="0"/>
        </w:rPr>
        <w:t xml:space="preserve"> and job shadowing opportunities students can identify goals, navigate career decisions, build job searching skills </w:t>
      </w:r>
      <w:r w:rsidR="25591667" w:rsidRPr="157DAF66">
        <w:rPr>
          <w:rStyle w:val="Strong"/>
          <w:rFonts w:eastAsiaTheme="minorEastAsia" w:cstheme="minorBidi"/>
          <w:b w:val="0"/>
          <w:bCs w:val="0"/>
        </w:rPr>
        <w:lastRenderedPageBreak/>
        <w:t>and develop meaningful connections with employers and alumni</w:t>
      </w:r>
      <w:r w:rsidR="10F483A6" w:rsidRPr="157DAF66">
        <w:rPr>
          <w:rStyle w:val="Strong"/>
          <w:rFonts w:eastAsiaTheme="minorEastAsia" w:cstheme="minorBidi"/>
          <w:b w:val="0"/>
          <w:bCs w:val="0"/>
        </w:rPr>
        <w:t xml:space="preserve">. Career Exploration &amp; Education also works with faculty and instructors to integrate career learning into </w:t>
      </w:r>
      <w:r w:rsidR="3AB0A3F4" w:rsidRPr="157DAF66">
        <w:rPr>
          <w:rStyle w:val="Strong"/>
          <w:rFonts w:eastAsiaTheme="minorEastAsia" w:cstheme="minorBidi"/>
          <w:b w:val="0"/>
          <w:bCs w:val="0"/>
        </w:rPr>
        <w:t>their</w:t>
      </w:r>
      <w:r w:rsidR="25591667" w:rsidRPr="157DAF66">
        <w:rPr>
          <w:rStyle w:val="Strong"/>
          <w:rFonts w:eastAsiaTheme="minorEastAsia" w:cstheme="minorBidi"/>
          <w:b w:val="0"/>
          <w:bCs w:val="0"/>
        </w:rPr>
        <w:t xml:space="preserve"> </w:t>
      </w:r>
      <w:r w:rsidR="3AB0A3F4" w:rsidRPr="157DAF66">
        <w:rPr>
          <w:rStyle w:val="Strong"/>
          <w:rFonts w:eastAsiaTheme="minorEastAsia" w:cstheme="minorBidi"/>
          <w:b w:val="0"/>
          <w:bCs w:val="0"/>
        </w:rPr>
        <w:t xml:space="preserve">courses and curriculum. </w:t>
      </w:r>
    </w:p>
    <w:p w14:paraId="0EC1FAB2" w14:textId="77777777" w:rsidR="00102207" w:rsidRDefault="00102207" w:rsidP="00F56378">
      <w:pPr>
        <w:spacing w:before="120"/>
        <w:rPr>
          <w:rStyle w:val="Strong"/>
        </w:rPr>
      </w:pPr>
    </w:p>
    <w:p w14:paraId="6CF096F0" w14:textId="508549BC" w:rsidR="00FC1890" w:rsidRDefault="00AD47C4" w:rsidP="00F56378">
      <w:pPr>
        <w:spacing w:before="120"/>
        <w:rPr>
          <w:rFonts w:ascii="Calibri" w:hAnsi="Calibri"/>
        </w:rPr>
      </w:pPr>
      <w:r w:rsidRPr="00FC1890">
        <w:rPr>
          <w:rStyle w:val="Strong"/>
        </w:rPr>
        <w:t>International learning opportunities</w:t>
      </w:r>
      <w:r>
        <w:rPr>
          <w:rFonts w:ascii="Calibri" w:hAnsi="Calibri"/>
        </w:rPr>
        <w:t xml:space="preserve"> (study, </w:t>
      </w:r>
      <w:proofErr w:type="gramStart"/>
      <w:r>
        <w:rPr>
          <w:rFonts w:ascii="Calibri" w:hAnsi="Calibri"/>
        </w:rPr>
        <w:t>research</w:t>
      </w:r>
      <w:proofErr w:type="gramEnd"/>
      <w:r>
        <w:rPr>
          <w:rFonts w:ascii="Calibri" w:hAnsi="Calibri"/>
        </w:rPr>
        <w:t xml:space="preserve"> and professional experiences</w:t>
      </w:r>
      <w:r w:rsidR="003441B6">
        <w:rPr>
          <w:rFonts w:ascii="Calibri" w:hAnsi="Calibri"/>
        </w:rPr>
        <w:t xml:space="preserve"> outside of Canada</w:t>
      </w:r>
      <w:r>
        <w:rPr>
          <w:rFonts w:ascii="Calibri" w:hAnsi="Calibri"/>
        </w:rPr>
        <w:t>) for all students on all campuses enable the development of global fluency in academic, personal and career spheres. Opportunities are catalogue</w:t>
      </w:r>
      <w:r w:rsidR="003441B6">
        <w:rPr>
          <w:rFonts w:ascii="Calibri" w:hAnsi="Calibri"/>
        </w:rPr>
        <w:t>d</w:t>
      </w:r>
      <w:r>
        <w:rPr>
          <w:rFonts w:ascii="Calibri" w:hAnsi="Calibri"/>
        </w:rPr>
        <w:t xml:space="preserve"> at </w:t>
      </w:r>
      <w:hyperlink r:id="rId18" w:history="1">
        <w:r w:rsidRPr="00102207">
          <w:rPr>
            <w:rStyle w:val="Hyperlink"/>
            <w:rFonts w:ascii="Calibri" w:hAnsi="Calibri"/>
          </w:rPr>
          <w:t>learningabroad.utoronto.ca</w:t>
        </w:r>
      </w:hyperlink>
      <w:r>
        <w:rPr>
          <w:rFonts w:ascii="Calibri" w:hAnsi="Calibri"/>
        </w:rPr>
        <w:t xml:space="preserve">. Student </w:t>
      </w:r>
      <w:hyperlink r:id="rId19" w:history="1">
        <w:r w:rsidRPr="00102207">
          <w:rPr>
            <w:rStyle w:val="Hyperlink"/>
            <w:b/>
          </w:rPr>
          <w:t>Safety Abroad</w:t>
        </w:r>
      </w:hyperlink>
      <w:r w:rsidRPr="00102207">
        <w:rPr>
          <w:rFonts w:ascii="Calibri" w:hAnsi="Calibri"/>
        </w:rPr>
        <w:t xml:space="preserve"> </w:t>
      </w:r>
      <w:r>
        <w:rPr>
          <w:rFonts w:ascii="Calibri" w:hAnsi="Calibri"/>
        </w:rPr>
        <w:t xml:space="preserve">support is provided to all students on </w:t>
      </w:r>
      <w:r w:rsidR="003441B6">
        <w:rPr>
          <w:rFonts w:ascii="Calibri" w:hAnsi="Calibri"/>
        </w:rPr>
        <w:t xml:space="preserve">all </w:t>
      </w:r>
      <w:r>
        <w:rPr>
          <w:rFonts w:ascii="Calibri" w:hAnsi="Calibri"/>
        </w:rPr>
        <w:t>university activity abroad.</w:t>
      </w:r>
      <w:r w:rsidR="003441B6">
        <w:rPr>
          <w:rFonts w:ascii="Calibri" w:hAnsi="Calibri"/>
        </w:rPr>
        <w:t xml:space="preserve">  Opportunities for the development of global fluencies and skills are available to all students through on campus international learning co-curricular and experiential learning.  </w:t>
      </w:r>
    </w:p>
    <w:p w14:paraId="3F5CA92B" w14:textId="007A3FDC" w:rsidR="00AD47C4" w:rsidRPr="00752DE7" w:rsidRDefault="00AD47C4" w:rsidP="00F56378">
      <w:pPr>
        <w:spacing w:before="120"/>
        <w:rPr>
          <w:rFonts w:ascii="Calibri" w:hAnsi="Calibri"/>
        </w:rPr>
      </w:pPr>
      <w:r>
        <w:rPr>
          <w:rFonts w:ascii="Calibri" w:hAnsi="Calibri"/>
        </w:rPr>
        <w:t xml:space="preserve"> </w:t>
      </w:r>
    </w:p>
    <w:p w14:paraId="3C4A9A20" w14:textId="537EDE01" w:rsidR="008A0622" w:rsidRDefault="008A0622" w:rsidP="00F56378">
      <w:pPr>
        <w:spacing w:before="120"/>
        <w:rPr>
          <w:rFonts w:ascii="Calibri" w:hAnsi="Calibri"/>
        </w:rPr>
      </w:pPr>
      <w:r w:rsidRPr="00752DE7">
        <w:rPr>
          <w:rFonts w:ascii="Calibri" w:hAnsi="Calibri"/>
        </w:rPr>
        <w:t xml:space="preserve">Specialized services are provided for </w:t>
      </w:r>
      <w:hyperlink r:id="rId20" w:history="1">
        <w:r w:rsidRPr="00102207">
          <w:rPr>
            <w:rStyle w:val="Hyperlink"/>
            <w:b/>
          </w:rPr>
          <w:t>international students</w:t>
        </w:r>
      </w:hyperlink>
      <w:r w:rsidRPr="00752DE7">
        <w:rPr>
          <w:rFonts w:ascii="Calibri" w:hAnsi="Calibri"/>
        </w:rPr>
        <w:t xml:space="preserve"> </w:t>
      </w:r>
      <w:r w:rsidR="003441B6">
        <w:rPr>
          <w:rFonts w:ascii="Calibri" w:hAnsi="Calibri"/>
        </w:rPr>
        <w:t xml:space="preserve">including but not limited to </w:t>
      </w:r>
      <w:r w:rsidR="00AD47C4">
        <w:rPr>
          <w:rFonts w:ascii="Calibri" w:hAnsi="Calibri"/>
        </w:rPr>
        <w:t xml:space="preserve">pre-arrival, transition to Toronto, study and work permit advising, health insurance for international </w:t>
      </w:r>
      <w:r w:rsidR="003441B6">
        <w:rPr>
          <w:rFonts w:ascii="Calibri" w:hAnsi="Calibri"/>
        </w:rPr>
        <w:t xml:space="preserve">students and their dependents who are </w:t>
      </w:r>
      <w:r w:rsidR="00AD47C4">
        <w:rPr>
          <w:rFonts w:ascii="Calibri" w:hAnsi="Calibri"/>
        </w:rPr>
        <w:t xml:space="preserve">residents of Ontario, impact of </w:t>
      </w:r>
      <w:r w:rsidR="003441B6">
        <w:rPr>
          <w:rFonts w:ascii="Calibri" w:hAnsi="Calibri"/>
        </w:rPr>
        <w:t xml:space="preserve">lived experience and previous academic </w:t>
      </w:r>
      <w:r w:rsidR="00AD47C4">
        <w:rPr>
          <w:rFonts w:ascii="Calibri" w:hAnsi="Calibri"/>
        </w:rPr>
        <w:t>culture on teaching and learning expectations</w:t>
      </w:r>
      <w:r w:rsidR="003441B6">
        <w:rPr>
          <w:rFonts w:ascii="Calibri" w:hAnsi="Calibri"/>
        </w:rPr>
        <w:t xml:space="preserve"> and peer resources for life as a U of T student.  Specialized services are also available for all </w:t>
      </w:r>
      <w:hyperlink r:id="rId21" w:history="1">
        <w:r w:rsidRPr="00102207">
          <w:rPr>
            <w:rStyle w:val="Hyperlink"/>
            <w:rFonts w:ascii="Calibri" w:hAnsi="Calibri"/>
          </w:rPr>
          <w:t xml:space="preserve">students </w:t>
        </w:r>
        <w:r w:rsidR="00592CA5" w:rsidRPr="00102207">
          <w:rPr>
            <w:rStyle w:val="Hyperlink"/>
            <w:rFonts w:ascii="Calibri" w:hAnsi="Calibri"/>
          </w:rPr>
          <w:t>whose health or disability impacts their functioning</w:t>
        </w:r>
      </w:hyperlink>
      <w:r w:rsidR="00592CA5" w:rsidRPr="003E490B">
        <w:rPr>
          <w:rFonts w:ascii="Calibri" w:hAnsi="Calibri"/>
        </w:rPr>
        <w:t xml:space="preserve"> (academic accommodations, systems navigation, referrals, resources, skill development, peer programming and support)</w:t>
      </w:r>
      <w:r w:rsidRPr="00752DE7">
        <w:rPr>
          <w:rFonts w:ascii="Calibri" w:hAnsi="Calibri"/>
        </w:rPr>
        <w:t xml:space="preserve"> </w:t>
      </w:r>
      <w:hyperlink r:id="rId22" w:history="1">
        <w:r w:rsidRPr="00102207">
          <w:rPr>
            <w:rStyle w:val="Hyperlink"/>
            <w:rFonts w:ascii="Calibri" w:hAnsi="Calibri"/>
          </w:rPr>
          <w:t xml:space="preserve">students with </w:t>
        </w:r>
        <w:r w:rsidRPr="00102207">
          <w:rPr>
            <w:rStyle w:val="Hyperlink"/>
            <w:b/>
          </w:rPr>
          <w:t>children or other family responsibilities</w:t>
        </w:r>
      </w:hyperlink>
      <w:r w:rsidRPr="00752DE7">
        <w:rPr>
          <w:rFonts w:ascii="Calibri" w:hAnsi="Calibri"/>
        </w:rPr>
        <w:t xml:space="preserve"> (advising, resources, subsidized child care), </w:t>
      </w:r>
      <w:hyperlink r:id="rId23" w:history="1">
        <w:r w:rsidR="00FE5B2B" w:rsidRPr="00102207">
          <w:rPr>
            <w:rStyle w:val="Hyperlink"/>
            <w:b/>
          </w:rPr>
          <w:t>Indigenous</w:t>
        </w:r>
        <w:r w:rsidRPr="00102207">
          <w:rPr>
            <w:rStyle w:val="Hyperlink"/>
            <w:b/>
          </w:rPr>
          <w:t xml:space="preserve"> students</w:t>
        </w:r>
      </w:hyperlink>
      <w:r w:rsidRPr="00102207">
        <w:rPr>
          <w:rFonts w:ascii="Calibri" w:hAnsi="Calibri"/>
          <w:b/>
        </w:rPr>
        <w:t xml:space="preserve"> </w:t>
      </w:r>
      <w:r w:rsidRPr="00752DE7">
        <w:rPr>
          <w:rFonts w:ascii="Calibri" w:hAnsi="Calibri"/>
        </w:rPr>
        <w:t>(</w:t>
      </w:r>
      <w:r w:rsidR="00592CA5">
        <w:rPr>
          <w:rFonts w:ascii="Calibri" w:hAnsi="Calibri"/>
        </w:rPr>
        <w:t>culturally</w:t>
      </w:r>
      <w:r w:rsidR="00FC1890">
        <w:rPr>
          <w:rFonts w:ascii="Calibri" w:hAnsi="Calibri"/>
        </w:rPr>
        <w:t xml:space="preserve"> </w:t>
      </w:r>
      <w:r w:rsidR="00592CA5">
        <w:rPr>
          <w:rFonts w:ascii="Calibri" w:hAnsi="Calibri"/>
        </w:rPr>
        <w:t xml:space="preserve">relevant </w:t>
      </w:r>
      <w:r w:rsidRPr="00752DE7">
        <w:rPr>
          <w:rFonts w:ascii="Calibri" w:hAnsi="Calibri"/>
        </w:rPr>
        <w:t xml:space="preserve">academic support, financial counselling) and </w:t>
      </w:r>
      <w:hyperlink r:id="rId24" w:history="1">
        <w:r w:rsidRPr="00102207">
          <w:rPr>
            <w:rStyle w:val="Hyperlink"/>
            <w:b/>
          </w:rPr>
          <w:t>lesbian, gay, bisexual and transgender</w:t>
        </w:r>
      </w:hyperlink>
      <w:r w:rsidRPr="00752DE7">
        <w:rPr>
          <w:rFonts w:ascii="Calibri" w:hAnsi="Calibri"/>
        </w:rPr>
        <w:t xml:space="preserve"> students (counselling, referrals</w:t>
      </w:r>
      <w:r w:rsidR="007E7CB9" w:rsidRPr="00752DE7">
        <w:rPr>
          <w:rFonts w:ascii="Calibri" w:hAnsi="Calibri"/>
        </w:rPr>
        <w:t>, equity outreach and engagement</w:t>
      </w:r>
      <w:r w:rsidRPr="00752DE7">
        <w:rPr>
          <w:rFonts w:ascii="Calibri" w:hAnsi="Calibri"/>
        </w:rPr>
        <w:t>).</w:t>
      </w:r>
    </w:p>
    <w:p w14:paraId="4F4ADC09" w14:textId="77777777" w:rsidR="00FC1890" w:rsidRPr="00752DE7" w:rsidRDefault="00FC1890" w:rsidP="00F56378">
      <w:pPr>
        <w:spacing w:before="120"/>
        <w:rPr>
          <w:rFonts w:ascii="Calibri" w:hAnsi="Calibri"/>
        </w:rPr>
      </w:pPr>
    </w:p>
    <w:p w14:paraId="5333B66D" w14:textId="04256F86" w:rsidR="00592CA5" w:rsidRPr="00752DE7" w:rsidRDefault="008A0622" w:rsidP="00592CA5">
      <w:pPr>
        <w:spacing w:before="120"/>
        <w:rPr>
          <w:rFonts w:ascii="Calibri" w:hAnsi="Calibri"/>
        </w:rPr>
      </w:pPr>
      <w:r w:rsidRPr="157DAF66">
        <w:rPr>
          <w:rFonts w:ascii="Calibri" w:hAnsi="Calibri"/>
        </w:rPr>
        <w:t xml:space="preserve">Participation in </w:t>
      </w:r>
      <w:r w:rsidRPr="157DAF66">
        <w:rPr>
          <w:rStyle w:val="Strong"/>
        </w:rPr>
        <w:t>campus life</w:t>
      </w:r>
      <w:r w:rsidRPr="157DAF66">
        <w:rPr>
          <w:rFonts w:ascii="Calibri" w:hAnsi="Calibri"/>
        </w:rPr>
        <w:t xml:space="preserve"> and </w:t>
      </w:r>
      <w:r w:rsidRPr="157DAF66">
        <w:rPr>
          <w:rStyle w:val="Strong"/>
        </w:rPr>
        <w:t>experiential learning</w:t>
      </w:r>
      <w:r w:rsidRPr="157DAF66">
        <w:rPr>
          <w:rFonts w:ascii="Calibri" w:hAnsi="Calibri"/>
        </w:rPr>
        <w:t xml:space="preserve"> are facilitated through </w:t>
      </w:r>
      <w:hyperlink r:id="rId25" w:history="1">
        <w:r w:rsidRPr="00483A73">
          <w:rPr>
            <w:rStyle w:val="Hyperlink"/>
            <w:rFonts w:ascii="Calibri" w:hAnsi="Calibri"/>
          </w:rPr>
          <w:t>Hart House</w:t>
        </w:r>
      </w:hyperlink>
      <w:r w:rsidRPr="157DAF66">
        <w:rPr>
          <w:rFonts w:ascii="Calibri" w:hAnsi="Calibri"/>
        </w:rPr>
        <w:t xml:space="preserve"> (clubs, committees, events), the Centre for Community Pa</w:t>
      </w:r>
      <w:r w:rsidR="007A72A8" w:rsidRPr="157DAF66">
        <w:rPr>
          <w:rFonts w:ascii="Calibri" w:hAnsi="Calibri"/>
        </w:rPr>
        <w:t>rtnerships (</w:t>
      </w:r>
      <w:r w:rsidR="00592CA5" w:rsidRPr="157DAF66">
        <w:rPr>
          <w:rFonts w:ascii="Calibri" w:hAnsi="Calibri"/>
        </w:rPr>
        <w:t>community</w:t>
      </w:r>
      <w:r w:rsidR="01D5BFA9" w:rsidRPr="157DAF66">
        <w:rPr>
          <w:rFonts w:ascii="Calibri" w:hAnsi="Calibri"/>
        </w:rPr>
        <w:t>-</w:t>
      </w:r>
      <w:r w:rsidR="00592CA5" w:rsidRPr="157DAF66">
        <w:rPr>
          <w:rFonts w:ascii="Calibri" w:hAnsi="Calibri"/>
        </w:rPr>
        <w:t xml:space="preserve">engaged </w:t>
      </w:r>
      <w:r w:rsidR="007A72A8" w:rsidRPr="157DAF66">
        <w:rPr>
          <w:rFonts w:ascii="Calibri" w:hAnsi="Calibri"/>
        </w:rPr>
        <w:t>learning</w:t>
      </w:r>
      <w:r w:rsidR="00FE5B2B" w:rsidRPr="157DAF66">
        <w:rPr>
          <w:rFonts w:ascii="Calibri" w:hAnsi="Calibri"/>
        </w:rPr>
        <w:t xml:space="preserve"> and </w:t>
      </w:r>
      <w:r w:rsidR="14B6A94A" w:rsidRPr="157DAF66">
        <w:rPr>
          <w:rFonts w:ascii="Calibri" w:hAnsi="Calibri"/>
        </w:rPr>
        <w:t xml:space="preserve">research opportunities </w:t>
      </w:r>
      <w:r w:rsidR="007A72A8" w:rsidRPr="157DAF66">
        <w:rPr>
          <w:rFonts w:ascii="Calibri" w:hAnsi="Calibri"/>
        </w:rPr>
        <w:t xml:space="preserve">, </w:t>
      </w:r>
      <w:r w:rsidRPr="157DAF66">
        <w:rPr>
          <w:rFonts w:ascii="Calibri" w:hAnsi="Calibri"/>
        </w:rPr>
        <w:t xml:space="preserve">the </w:t>
      </w:r>
      <w:hyperlink r:id="rId26" w:history="1">
        <w:r w:rsidRPr="00483A73">
          <w:rPr>
            <w:rStyle w:val="Hyperlink"/>
            <w:rFonts w:ascii="Calibri" w:hAnsi="Calibri"/>
          </w:rPr>
          <w:t>Multifaith Centre</w:t>
        </w:r>
      </w:hyperlink>
      <w:r w:rsidRPr="157DAF66">
        <w:rPr>
          <w:rFonts w:ascii="Calibri" w:hAnsi="Calibri"/>
        </w:rPr>
        <w:t xml:space="preserve"> (</w:t>
      </w:r>
      <w:r w:rsidR="6E00A834" w:rsidRPr="157DAF66">
        <w:rPr>
          <w:rFonts w:ascii="Calibri" w:hAnsi="Calibri"/>
        </w:rPr>
        <w:t xml:space="preserve">engage with religious diversity including spiritual and non-religious perspectives, </w:t>
      </w:r>
      <w:r w:rsidRPr="157DAF66">
        <w:rPr>
          <w:rFonts w:ascii="Calibri" w:hAnsi="Calibri"/>
        </w:rPr>
        <w:t xml:space="preserve">interfaith </w:t>
      </w:r>
      <w:r w:rsidR="1AEBFDCD" w:rsidRPr="157DAF66">
        <w:rPr>
          <w:rFonts w:ascii="Calibri" w:hAnsi="Calibri"/>
        </w:rPr>
        <w:t xml:space="preserve">programs, </w:t>
      </w:r>
      <w:r w:rsidR="40FEEDB2" w:rsidRPr="157DAF66">
        <w:rPr>
          <w:rFonts w:ascii="Calibri" w:hAnsi="Calibri"/>
        </w:rPr>
        <w:t xml:space="preserve">meditation and yoga, providing space for prayer, </w:t>
      </w:r>
      <w:r w:rsidR="09B399B1" w:rsidRPr="157DAF66">
        <w:rPr>
          <w:rFonts w:ascii="Calibri" w:hAnsi="Calibri"/>
        </w:rPr>
        <w:t>cultural</w:t>
      </w:r>
      <w:r w:rsidR="40FEEDB2" w:rsidRPr="157DAF66">
        <w:rPr>
          <w:rFonts w:ascii="Calibri" w:hAnsi="Calibri"/>
        </w:rPr>
        <w:t xml:space="preserve"> and spiritual</w:t>
      </w:r>
      <w:r w:rsidR="7A08D1A8" w:rsidRPr="157DAF66">
        <w:rPr>
          <w:rFonts w:ascii="Calibri" w:hAnsi="Calibri"/>
        </w:rPr>
        <w:t xml:space="preserve"> practices</w:t>
      </w:r>
      <w:r w:rsidRPr="157DAF66">
        <w:rPr>
          <w:rFonts w:ascii="Calibri" w:hAnsi="Calibri"/>
        </w:rPr>
        <w:t xml:space="preserve">), and </w:t>
      </w:r>
      <w:hyperlink r:id="rId27" w:history="1">
        <w:r w:rsidR="00592CA5" w:rsidRPr="00483A73">
          <w:rPr>
            <w:rStyle w:val="Hyperlink"/>
            <w:rFonts w:ascii="Calibri" w:hAnsi="Calibri"/>
          </w:rPr>
          <w:t>Clubs and Leadership Development</w:t>
        </w:r>
      </w:hyperlink>
      <w:r w:rsidRPr="157DAF66">
        <w:rPr>
          <w:rFonts w:ascii="Calibri" w:hAnsi="Calibri"/>
        </w:rPr>
        <w:t xml:space="preserve"> (leadership development, </w:t>
      </w:r>
      <w:r w:rsidR="00592CA5" w:rsidRPr="157DAF66">
        <w:rPr>
          <w:rFonts w:ascii="Calibri" w:hAnsi="Calibri"/>
        </w:rPr>
        <w:t xml:space="preserve">equity education, </w:t>
      </w:r>
      <w:r w:rsidRPr="157DAF66">
        <w:rPr>
          <w:rFonts w:ascii="Calibri" w:hAnsi="Calibri"/>
        </w:rPr>
        <w:t>recognition and support for student groups, activities</w:t>
      </w:r>
      <w:r w:rsidR="00592CA5" w:rsidRPr="157DAF66">
        <w:rPr>
          <w:rFonts w:ascii="Calibri" w:hAnsi="Calibri"/>
        </w:rPr>
        <w:t>, office, meeting and activity space for clubs</w:t>
      </w:r>
      <w:r w:rsidRPr="157DAF66">
        <w:rPr>
          <w:rFonts w:ascii="Calibri" w:hAnsi="Calibri"/>
        </w:rPr>
        <w:t>)</w:t>
      </w:r>
      <w:r w:rsidR="558A4C63" w:rsidRPr="157DAF66">
        <w:rPr>
          <w:rFonts w:ascii="Calibri" w:hAnsi="Calibri"/>
        </w:rPr>
        <w:t>.</w:t>
      </w:r>
      <w:r w:rsidR="00C14238" w:rsidRPr="157DAF66">
        <w:rPr>
          <w:rFonts w:ascii="Calibri" w:hAnsi="Calibri"/>
        </w:rPr>
        <w:t xml:space="preserve"> </w:t>
      </w:r>
      <w:r w:rsidRPr="157DAF66">
        <w:rPr>
          <w:rStyle w:val="Strong"/>
        </w:rPr>
        <w:t>Sport and recreational facilities and programs</w:t>
      </w:r>
      <w:r w:rsidRPr="157DAF66">
        <w:rPr>
          <w:rFonts w:ascii="Calibri" w:hAnsi="Calibri"/>
        </w:rPr>
        <w:t xml:space="preserve"> are provided to all students through both Hart House and the </w:t>
      </w:r>
      <w:hyperlink r:id="rId28" w:history="1">
        <w:r w:rsidRPr="00483A73">
          <w:rPr>
            <w:rStyle w:val="Hyperlink"/>
            <w:rFonts w:ascii="Calibri" w:hAnsi="Calibri"/>
          </w:rPr>
          <w:t xml:space="preserve">Faculty of </w:t>
        </w:r>
        <w:r w:rsidR="00BF4A6E" w:rsidRPr="00483A73">
          <w:rPr>
            <w:rStyle w:val="Hyperlink"/>
            <w:rFonts w:ascii="Calibri" w:hAnsi="Calibri"/>
          </w:rPr>
          <w:t>Kinesiology and Physical Education</w:t>
        </w:r>
      </w:hyperlink>
      <w:r w:rsidRPr="157DAF66">
        <w:rPr>
          <w:rFonts w:ascii="Calibri" w:hAnsi="Calibri"/>
        </w:rPr>
        <w:t>.</w:t>
      </w:r>
      <w:r w:rsidR="00592CA5" w:rsidRPr="157DAF66">
        <w:rPr>
          <w:rFonts w:ascii="Calibri" w:hAnsi="Calibri"/>
        </w:rPr>
        <w:t xml:space="preserve"> </w:t>
      </w:r>
      <w:r w:rsidR="00592CA5" w:rsidRPr="157DAF66">
        <w:rPr>
          <w:rStyle w:val="Strong"/>
        </w:rPr>
        <w:t>Campus involvement</w:t>
      </w:r>
      <w:r w:rsidR="00592CA5" w:rsidRPr="157DAF66">
        <w:rPr>
          <w:rFonts w:ascii="Calibri" w:hAnsi="Calibri"/>
        </w:rPr>
        <w:t xml:space="preserve"> is supported actively through </w:t>
      </w:r>
      <w:hyperlink r:id="rId29" w:history="1">
        <w:r w:rsidR="00592CA5" w:rsidRPr="00483A73">
          <w:rPr>
            <w:rStyle w:val="Hyperlink"/>
            <w:rFonts w:ascii="Calibri" w:hAnsi="Calibri"/>
          </w:rPr>
          <w:t>Orientation, Transition and Engagement</w:t>
        </w:r>
      </w:hyperlink>
      <w:r w:rsidR="00592CA5" w:rsidRPr="157DAF66">
        <w:rPr>
          <w:rFonts w:ascii="Calibri" w:hAnsi="Calibri"/>
        </w:rPr>
        <w:t xml:space="preserve"> (co-curricular record). </w:t>
      </w:r>
    </w:p>
    <w:p w14:paraId="01EA5CE0" w14:textId="77777777" w:rsidR="00592CA5" w:rsidRDefault="00592CA5" w:rsidP="00592CA5">
      <w:pPr>
        <w:rPr>
          <w:rFonts w:ascii="Calibri" w:hAnsi="Calibri"/>
        </w:rPr>
      </w:pPr>
    </w:p>
    <w:p w14:paraId="16F9B8B9" w14:textId="4A6EF2A9" w:rsidR="00592CA5" w:rsidRDefault="00592CA5" w:rsidP="00592CA5">
      <w:pPr>
        <w:rPr>
          <w:rFonts w:ascii="Calibri" w:hAnsi="Calibri"/>
        </w:rPr>
      </w:pPr>
      <w:r w:rsidRPr="157DAF66">
        <w:rPr>
          <w:rFonts w:ascii="Calibri" w:hAnsi="Calibri"/>
        </w:rPr>
        <w:t xml:space="preserve">Support for the transition into life as a student are facilitated through Orientation, Transition and Engagement (transition programs, orientation coordination and support, outreach, </w:t>
      </w:r>
      <w:r w:rsidRPr="157DAF66">
        <w:rPr>
          <w:rFonts w:ascii="Calibri" w:hAnsi="Calibri"/>
        </w:rPr>
        <w:lastRenderedPageBreak/>
        <w:t xml:space="preserve">parent and supporter resources) as well as </w:t>
      </w:r>
      <w:hyperlink r:id="rId30" w:history="1">
        <w:r w:rsidRPr="004B45E6">
          <w:rPr>
            <w:rStyle w:val="Hyperlink"/>
            <w:rFonts w:ascii="Calibri" w:hAnsi="Calibri"/>
            <w:b/>
            <w:bCs/>
          </w:rPr>
          <w:t>Mentorship and Peer Programs</w:t>
        </w:r>
      </w:hyperlink>
      <w:r w:rsidRPr="157DAF66">
        <w:rPr>
          <w:rFonts w:ascii="Calibri" w:hAnsi="Calibri"/>
        </w:rPr>
        <w:t xml:space="preserve"> (events for equity-seeking communities, 1:1 peer support, workshops). </w:t>
      </w:r>
      <w:r w:rsidR="2893C456" w:rsidRPr="157DAF66">
        <w:rPr>
          <w:rFonts w:ascii="Calibri" w:hAnsi="Calibri"/>
        </w:rPr>
        <w:t xml:space="preserve"> Programs and services designed to support Black, Latin American, Southeast Asian and </w:t>
      </w:r>
      <w:proofErr w:type="gramStart"/>
      <w:r w:rsidR="2893C456" w:rsidRPr="157DAF66">
        <w:rPr>
          <w:rFonts w:ascii="Calibri" w:hAnsi="Calibri"/>
        </w:rPr>
        <w:t>First Generation</w:t>
      </w:r>
      <w:proofErr w:type="gramEnd"/>
      <w:r w:rsidR="2893C456" w:rsidRPr="157DAF66">
        <w:rPr>
          <w:rFonts w:ascii="Calibri" w:hAnsi="Calibri"/>
        </w:rPr>
        <w:t xml:space="preserve"> students are offered through Mentorship and Peer programs.</w:t>
      </w:r>
    </w:p>
    <w:p w14:paraId="05303F4B" w14:textId="77777777" w:rsidR="00592CA5" w:rsidRDefault="00592CA5" w:rsidP="00592CA5">
      <w:pPr>
        <w:rPr>
          <w:rFonts w:ascii="Calibri" w:hAnsi="Calibri"/>
        </w:rPr>
      </w:pPr>
    </w:p>
    <w:p w14:paraId="26F8DF90" w14:textId="11E85640" w:rsidR="00592CA5" w:rsidRDefault="006C1B67" w:rsidP="00592CA5">
      <w:pPr>
        <w:rPr>
          <w:rFonts w:ascii="Calibri" w:hAnsi="Calibri"/>
        </w:rPr>
      </w:pPr>
      <w:hyperlink r:id="rId31" w:history="1">
        <w:proofErr w:type="spellStart"/>
        <w:r w:rsidR="00592CA5" w:rsidRPr="004B45E6">
          <w:rPr>
            <w:rStyle w:val="Hyperlink"/>
            <w:rFonts w:ascii="Calibri" w:hAnsi="Calibri"/>
          </w:rPr>
          <w:t>Gradlife</w:t>
        </w:r>
        <w:proofErr w:type="spellEnd"/>
        <w:r w:rsidR="00592CA5" w:rsidRPr="004B45E6">
          <w:rPr>
            <w:rStyle w:val="Hyperlink"/>
            <w:rFonts w:ascii="Calibri" w:hAnsi="Calibri"/>
          </w:rPr>
          <w:t xml:space="preserve"> </w:t>
        </w:r>
      </w:hyperlink>
      <w:r w:rsidR="00592CA5">
        <w:rPr>
          <w:rFonts w:ascii="Calibri" w:hAnsi="Calibri"/>
        </w:rPr>
        <w:t xml:space="preserve">is a comprehensive suite of programs, services and initiatives offered across the Division of Student Life that are developed with a graduate student audience in mind. </w:t>
      </w:r>
      <w:proofErr w:type="spellStart"/>
      <w:r w:rsidR="00592CA5">
        <w:rPr>
          <w:rFonts w:ascii="Calibri" w:hAnsi="Calibri"/>
        </w:rPr>
        <w:t>Gradlife</w:t>
      </w:r>
      <w:proofErr w:type="spellEnd"/>
      <w:r w:rsidR="00592CA5">
        <w:rPr>
          <w:rFonts w:ascii="Calibri" w:hAnsi="Calibri"/>
        </w:rPr>
        <w:t xml:space="preserve"> includes skills development, social, academic and community building activities to support a holistic graduate student experience.</w:t>
      </w:r>
    </w:p>
    <w:p w14:paraId="611C2CF3" w14:textId="77777777" w:rsidR="008A0622" w:rsidRPr="00752DE7" w:rsidRDefault="008A0622">
      <w:pPr>
        <w:rPr>
          <w:rFonts w:ascii="Calibri" w:hAnsi="Calibri"/>
        </w:rPr>
      </w:pPr>
    </w:p>
    <w:p w14:paraId="10F55699" w14:textId="77777777" w:rsidR="008A0622" w:rsidRPr="00752DE7" w:rsidRDefault="008A0622">
      <w:pPr>
        <w:rPr>
          <w:rFonts w:ascii="Calibri" w:hAnsi="Calibri"/>
        </w:rPr>
      </w:pPr>
      <w:r w:rsidRPr="00752DE7">
        <w:rPr>
          <w:rFonts w:ascii="Calibri" w:hAnsi="Calibri"/>
          <w:highlight w:val="yellow"/>
        </w:rPr>
        <w:t>[Divisions may wish to augment this with:</w:t>
      </w:r>
    </w:p>
    <w:p w14:paraId="2F07E9C6" w14:textId="77777777" w:rsidR="008A0622" w:rsidRPr="00752DE7" w:rsidRDefault="008A0622" w:rsidP="001F3517">
      <w:pPr>
        <w:pStyle w:val="ListParagraph"/>
        <w:numPr>
          <w:ilvl w:val="0"/>
          <w:numId w:val="2"/>
        </w:numPr>
        <w:rPr>
          <w:rFonts w:ascii="Calibri" w:hAnsi="Calibri"/>
        </w:rPr>
      </w:pPr>
      <w:proofErr w:type="spellStart"/>
      <w:r w:rsidRPr="00752DE7">
        <w:rPr>
          <w:rFonts w:ascii="Calibri" w:hAnsi="Calibri"/>
        </w:rPr>
        <w:t>registrarial</w:t>
      </w:r>
      <w:proofErr w:type="spellEnd"/>
      <w:r w:rsidRPr="00752DE7">
        <w:rPr>
          <w:rFonts w:ascii="Calibri" w:hAnsi="Calibri"/>
        </w:rPr>
        <w:t xml:space="preserve"> services; academic advising</w:t>
      </w:r>
    </w:p>
    <w:p w14:paraId="5DA021A0" w14:textId="77777777" w:rsidR="008A0622" w:rsidRPr="00752DE7" w:rsidRDefault="008A0622" w:rsidP="001F3517">
      <w:pPr>
        <w:pStyle w:val="ListParagraph"/>
        <w:numPr>
          <w:ilvl w:val="0"/>
          <w:numId w:val="2"/>
        </w:numPr>
        <w:rPr>
          <w:rFonts w:ascii="Calibri" w:hAnsi="Calibri"/>
        </w:rPr>
      </w:pPr>
      <w:r w:rsidRPr="00752DE7">
        <w:rPr>
          <w:rFonts w:ascii="Calibri" w:hAnsi="Calibri"/>
        </w:rPr>
        <w:t xml:space="preserve">writing </w:t>
      </w:r>
      <w:proofErr w:type="spellStart"/>
      <w:r w:rsidRPr="00752DE7">
        <w:rPr>
          <w:rFonts w:ascii="Calibri" w:hAnsi="Calibri"/>
        </w:rPr>
        <w:t>centres</w:t>
      </w:r>
      <w:proofErr w:type="spellEnd"/>
    </w:p>
    <w:p w14:paraId="6336E904" w14:textId="77777777" w:rsidR="008A0622" w:rsidRPr="00752DE7" w:rsidRDefault="008A0622" w:rsidP="001F3517">
      <w:pPr>
        <w:pStyle w:val="ListParagraph"/>
        <w:numPr>
          <w:ilvl w:val="0"/>
          <w:numId w:val="2"/>
        </w:numPr>
        <w:rPr>
          <w:rFonts w:ascii="Calibri" w:hAnsi="Calibri"/>
        </w:rPr>
      </w:pPr>
      <w:r w:rsidRPr="00752DE7">
        <w:rPr>
          <w:rFonts w:ascii="Calibri" w:hAnsi="Calibri"/>
        </w:rPr>
        <w:t>program-related career services</w:t>
      </w:r>
    </w:p>
    <w:p w14:paraId="4C961BE3" w14:textId="77777777" w:rsidR="008A0622" w:rsidRPr="00752DE7" w:rsidRDefault="008A0622" w:rsidP="001F3517">
      <w:pPr>
        <w:pStyle w:val="ListParagraph"/>
        <w:numPr>
          <w:ilvl w:val="0"/>
          <w:numId w:val="2"/>
        </w:numPr>
        <w:rPr>
          <w:rFonts w:ascii="Calibri" w:hAnsi="Calibri"/>
        </w:rPr>
      </w:pPr>
      <w:r w:rsidRPr="00752DE7">
        <w:rPr>
          <w:rFonts w:ascii="Calibri" w:hAnsi="Calibri"/>
        </w:rPr>
        <w:t>student activity spaces</w:t>
      </w:r>
    </w:p>
    <w:p w14:paraId="35B8C0B6" w14:textId="77777777" w:rsidR="008A0622" w:rsidRPr="00752DE7" w:rsidRDefault="008A0622" w:rsidP="001F3517">
      <w:pPr>
        <w:pStyle w:val="ListParagraph"/>
        <w:numPr>
          <w:ilvl w:val="0"/>
          <w:numId w:val="2"/>
        </w:numPr>
        <w:rPr>
          <w:rFonts w:ascii="Calibri" w:hAnsi="Calibri"/>
        </w:rPr>
      </w:pPr>
      <w:r w:rsidRPr="00752DE7">
        <w:rPr>
          <w:rFonts w:ascii="Calibri" w:hAnsi="Calibri"/>
        </w:rPr>
        <w:t>residence life programs and services</w:t>
      </w:r>
    </w:p>
    <w:p w14:paraId="0BC5D984" w14:textId="77777777" w:rsidR="008A0622" w:rsidRPr="00752DE7" w:rsidRDefault="008A0622" w:rsidP="00F56378">
      <w:pPr>
        <w:pStyle w:val="ListParagraph"/>
        <w:numPr>
          <w:ilvl w:val="0"/>
          <w:numId w:val="2"/>
        </w:numPr>
        <w:rPr>
          <w:rFonts w:ascii="Calibri" w:hAnsi="Calibri"/>
        </w:rPr>
      </w:pPr>
      <w:r w:rsidRPr="00752DE7">
        <w:rPr>
          <w:rFonts w:ascii="Calibri" w:hAnsi="Calibri"/>
        </w:rPr>
        <w:t>student life programs (orientation; first-year learning communities, etc.)]</w:t>
      </w:r>
    </w:p>
    <w:p w14:paraId="760FFD3C" w14:textId="3AB7506F" w:rsidR="00752DE7" w:rsidRDefault="00752DE7" w:rsidP="00FC1890"/>
    <w:p w14:paraId="6281B48D" w14:textId="73777AAB" w:rsidR="005961E6" w:rsidRPr="00FC1890" w:rsidRDefault="005961E6" w:rsidP="00FC1890"/>
    <w:p w14:paraId="489186BC" w14:textId="4F5C6681" w:rsidR="00752DE7" w:rsidRPr="00FC1890" w:rsidRDefault="008A0622" w:rsidP="00FC1890">
      <w:pPr>
        <w:pStyle w:val="Heading1"/>
      </w:pPr>
      <w:r w:rsidRPr="00FC1890">
        <w:t xml:space="preserve">School of Graduate Studies Student Services </w:t>
      </w:r>
    </w:p>
    <w:p w14:paraId="7FACB2A3" w14:textId="5CAF3502" w:rsidR="008A0622" w:rsidRPr="00752DE7" w:rsidRDefault="008A0622" w:rsidP="00FC1890">
      <w:pPr>
        <w:pStyle w:val="Heading1"/>
      </w:pPr>
      <w:r w:rsidRPr="00752DE7">
        <w:t>[all campuses]</w:t>
      </w:r>
    </w:p>
    <w:p w14:paraId="1F4E11F3" w14:textId="77777777" w:rsidR="008A0622" w:rsidRPr="00752DE7" w:rsidRDefault="008A0622" w:rsidP="005C3F37">
      <w:pPr>
        <w:rPr>
          <w:rFonts w:ascii="Calibri" w:hAnsi="Calibri"/>
          <w:b/>
        </w:rPr>
      </w:pPr>
    </w:p>
    <w:p w14:paraId="11135F23" w14:textId="4B789957" w:rsidR="008A0622" w:rsidRPr="00752DE7" w:rsidRDefault="00FB310C" w:rsidP="005C3F37">
      <w:pPr>
        <w:rPr>
          <w:rFonts w:ascii="Calibri" w:hAnsi="Calibri"/>
        </w:rPr>
      </w:pPr>
      <w:r w:rsidRPr="00752DE7">
        <w:rPr>
          <w:rFonts w:ascii="Calibri" w:hAnsi="Calibri"/>
        </w:rPr>
        <w:t>In addition to the above services available to all students, graduate student</w:t>
      </w:r>
      <w:r w:rsidR="0007608E" w:rsidRPr="00752DE7">
        <w:rPr>
          <w:rFonts w:ascii="Calibri" w:hAnsi="Calibri"/>
        </w:rPr>
        <w:t>s</w:t>
      </w:r>
      <w:r w:rsidRPr="00752DE7">
        <w:rPr>
          <w:rFonts w:ascii="Calibri" w:hAnsi="Calibri"/>
        </w:rPr>
        <w:t xml:space="preserve"> have access to </w:t>
      </w:r>
      <w:proofErr w:type="spellStart"/>
      <w:r w:rsidR="008A0622" w:rsidRPr="00752DE7">
        <w:rPr>
          <w:rFonts w:ascii="Calibri" w:hAnsi="Calibri"/>
        </w:rPr>
        <w:t>registrarial</w:t>
      </w:r>
      <w:proofErr w:type="spellEnd"/>
      <w:r w:rsidR="008A0622" w:rsidRPr="00752DE7">
        <w:rPr>
          <w:rFonts w:ascii="Calibri" w:hAnsi="Calibri"/>
        </w:rPr>
        <w:t xml:space="preserve"> services and co-curricular programs at the School of Graduate Studies </w:t>
      </w:r>
      <w:r w:rsidR="00752DE7" w:rsidRPr="00752DE7">
        <w:rPr>
          <w:rFonts w:ascii="Calibri" w:hAnsi="Calibri"/>
        </w:rPr>
        <w:t xml:space="preserve">(SGS) </w:t>
      </w:r>
      <w:r w:rsidR="008A0622" w:rsidRPr="00752DE7">
        <w:rPr>
          <w:rFonts w:ascii="Calibri" w:hAnsi="Calibri"/>
        </w:rPr>
        <w:t>that assist students in meeting their academic goals.</w:t>
      </w:r>
    </w:p>
    <w:p w14:paraId="2F357C9C" w14:textId="77777777" w:rsidR="008A0622" w:rsidRPr="00752DE7" w:rsidRDefault="008A0622" w:rsidP="005C3F37">
      <w:pPr>
        <w:rPr>
          <w:rFonts w:ascii="Calibri" w:hAnsi="Calibri"/>
        </w:rPr>
      </w:pPr>
    </w:p>
    <w:p w14:paraId="31FA3DAC" w14:textId="40F60350" w:rsidR="008A0622" w:rsidRPr="00752DE7" w:rsidRDefault="008A0622" w:rsidP="00EF14D0">
      <w:pPr>
        <w:rPr>
          <w:rFonts w:ascii="Calibri" w:hAnsi="Calibri"/>
          <w:lang w:val="en-CA"/>
        </w:rPr>
      </w:pPr>
      <w:r w:rsidRPr="00752DE7">
        <w:rPr>
          <w:rFonts w:ascii="Calibri" w:hAnsi="Calibri"/>
          <w:lang w:val="en-CA"/>
        </w:rPr>
        <w:t xml:space="preserve">Administrative staff at </w:t>
      </w:r>
      <w:r w:rsidR="00752DE7" w:rsidRPr="00752DE7">
        <w:rPr>
          <w:rFonts w:ascii="Calibri" w:hAnsi="Calibri"/>
          <w:lang w:val="en-CA"/>
        </w:rPr>
        <w:t>SGS</w:t>
      </w:r>
      <w:r w:rsidRPr="00752DE7">
        <w:rPr>
          <w:rFonts w:ascii="Calibri" w:hAnsi="Calibri"/>
          <w:lang w:val="en-CA"/>
        </w:rPr>
        <w:t xml:space="preserve"> provide </w:t>
      </w:r>
      <w:hyperlink r:id="rId32" w:history="1">
        <w:proofErr w:type="spellStart"/>
        <w:r w:rsidRPr="004B45E6">
          <w:rPr>
            <w:rStyle w:val="Hyperlink"/>
            <w:b/>
          </w:rPr>
          <w:t>registrarial</w:t>
        </w:r>
        <w:proofErr w:type="spellEnd"/>
        <w:r w:rsidRPr="004B45E6">
          <w:rPr>
            <w:rStyle w:val="Hyperlink"/>
            <w:rFonts w:ascii="Calibri" w:hAnsi="Calibri"/>
            <w:b/>
            <w:lang w:val="en-CA"/>
          </w:rPr>
          <w:t xml:space="preserve"> services</w:t>
        </w:r>
      </w:hyperlink>
      <w:r w:rsidRPr="00752DE7">
        <w:rPr>
          <w:rFonts w:ascii="Calibri" w:hAnsi="Calibri"/>
          <w:lang w:val="en-CA"/>
        </w:rPr>
        <w:t xml:space="preserve"> to graduate students including but not limited to recruitment, admission, orientation, registration, fees, program progress, awards/financial </w:t>
      </w:r>
      <w:proofErr w:type="gramStart"/>
      <w:r w:rsidRPr="00752DE7">
        <w:rPr>
          <w:rFonts w:ascii="Calibri" w:hAnsi="Calibri"/>
          <w:lang w:val="en-CA"/>
        </w:rPr>
        <w:t>assistance</w:t>
      </w:r>
      <w:proofErr w:type="gramEnd"/>
      <w:r w:rsidRPr="00752DE7">
        <w:rPr>
          <w:rFonts w:ascii="Calibri" w:hAnsi="Calibri"/>
          <w:lang w:val="en-CA"/>
        </w:rPr>
        <w:t xml:space="preserve"> and graduation.</w:t>
      </w:r>
      <w:r w:rsidR="00FE5B2B" w:rsidRPr="00752DE7">
        <w:rPr>
          <w:rFonts w:ascii="Calibri" w:hAnsi="Calibri"/>
          <w:lang w:val="en-CA"/>
        </w:rPr>
        <w:t xml:space="preserve"> </w:t>
      </w:r>
      <w:r w:rsidR="00104308" w:rsidRPr="00752DE7">
        <w:rPr>
          <w:rFonts w:ascii="Calibri" w:hAnsi="Calibri"/>
          <w:lang w:val="en-CA"/>
        </w:rPr>
        <w:t xml:space="preserve">Fully equipped meeting rooms, which can be booked by student groups when not used for Final Oral Examinations, are distributed across two locations, the newly renovated 63 St. George Street (home of SGS Student Services) and 65 St. George Street. </w:t>
      </w:r>
      <w:r w:rsidR="00EC5BA7" w:rsidRPr="00752DE7">
        <w:rPr>
          <w:rFonts w:ascii="Calibri" w:hAnsi="Calibri"/>
          <w:lang w:val="en-CA"/>
        </w:rPr>
        <w:t xml:space="preserve">Financial </w:t>
      </w:r>
      <w:r w:rsidR="00CB3C59" w:rsidRPr="00752DE7">
        <w:rPr>
          <w:rFonts w:ascii="Calibri" w:hAnsi="Calibri"/>
          <w:lang w:val="en-CA"/>
        </w:rPr>
        <w:t>advising</w:t>
      </w:r>
      <w:r w:rsidR="0007608E" w:rsidRPr="00752DE7">
        <w:rPr>
          <w:rFonts w:ascii="Calibri" w:hAnsi="Calibri"/>
          <w:lang w:val="en-CA"/>
        </w:rPr>
        <w:t>, health &amp;</w:t>
      </w:r>
      <w:r w:rsidR="00752DE7" w:rsidRPr="00752DE7">
        <w:rPr>
          <w:rFonts w:ascii="Calibri" w:hAnsi="Calibri"/>
          <w:lang w:val="en-CA"/>
        </w:rPr>
        <w:t xml:space="preserve"> </w:t>
      </w:r>
      <w:r w:rsidR="00EC5BA7" w:rsidRPr="00752DE7">
        <w:rPr>
          <w:rFonts w:ascii="Calibri" w:hAnsi="Calibri"/>
          <w:lang w:val="en-CA"/>
        </w:rPr>
        <w:t>wellness</w:t>
      </w:r>
      <w:r w:rsidR="0007608E" w:rsidRPr="00752DE7">
        <w:rPr>
          <w:rFonts w:ascii="Calibri" w:hAnsi="Calibri"/>
          <w:lang w:val="en-CA"/>
        </w:rPr>
        <w:t xml:space="preserve"> and</w:t>
      </w:r>
      <w:r w:rsidR="00A37776" w:rsidRPr="00752DE7">
        <w:rPr>
          <w:rFonts w:ascii="Calibri" w:hAnsi="Calibri"/>
          <w:lang w:val="en-CA"/>
        </w:rPr>
        <w:t xml:space="preserve"> accessibility</w:t>
      </w:r>
      <w:r w:rsidR="00EC5BA7" w:rsidRPr="00752DE7">
        <w:rPr>
          <w:rFonts w:ascii="Calibri" w:hAnsi="Calibri"/>
          <w:lang w:val="en-CA"/>
        </w:rPr>
        <w:t xml:space="preserve"> c</w:t>
      </w:r>
      <w:r w:rsidR="00FE5B2B" w:rsidRPr="00752DE7">
        <w:rPr>
          <w:rFonts w:ascii="Calibri" w:hAnsi="Calibri"/>
          <w:lang w:val="en-CA"/>
        </w:rPr>
        <w:t>ounselling services are also available at</w:t>
      </w:r>
      <w:r w:rsidR="00CB3C59" w:rsidRPr="00752DE7">
        <w:rPr>
          <w:rFonts w:ascii="Calibri" w:hAnsi="Calibri"/>
          <w:lang w:val="en-CA"/>
        </w:rPr>
        <w:t xml:space="preserve"> 63 St. George</w:t>
      </w:r>
      <w:r w:rsidR="00FE5B2B" w:rsidRPr="00752DE7">
        <w:rPr>
          <w:rFonts w:ascii="Calibri" w:hAnsi="Calibri"/>
          <w:lang w:val="en-CA"/>
        </w:rPr>
        <w:t>.</w:t>
      </w:r>
      <w:r w:rsidR="00104308" w:rsidRPr="00752DE7">
        <w:rPr>
          <w:rFonts w:ascii="Calibri" w:hAnsi="Calibri"/>
          <w:lang w:val="en-CA"/>
        </w:rPr>
        <w:t xml:space="preserve"> </w:t>
      </w:r>
    </w:p>
    <w:p w14:paraId="681CB085" w14:textId="77777777" w:rsidR="008A0622" w:rsidRPr="00752DE7" w:rsidRDefault="008A0622" w:rsidP="005C3F37">
      <w:pPr>
        <w:rPr>
          <w:rFonts w:ascii="Calibri" w:hAnsi="Calibri"/>
        </w:rPr>
      </w:pPr>
    </w:p>
    <w:p w14:paraId="2FACD1A2" w14:textId="6C9872A4" w:rsidR="008A0622" w:rsidRPr="00752DE7" w:rsidRDefault="0007608E" w:rsidP="005C3F37">
      <w:pPr>
        <w:rPr>
          <w:rFonts w:ascii="Calibri" w:hAnsi="Calibri"/>
        </w:rPr>
      </w:pPr>
      <w:r w:rsidRPr="00752DE7">
        <w:rPr>
          <w:rFonts w:ascii="Calibri" w:hAnsi="Calibri"/>
        </w:rPr>
        <w:t xml:space="preserve">Two multi-purpose spaces, provided by SGS, are dedicated to graduate students. </w:t>
      </w:r>
      <w:hyperlink r:id="rId33" w:history="1">
        <w:r w:rsidR="008A0622" w:rsidRPr="004B45E6">
          <w:rPr>
            <w:rStyle w:val="Hyperlink"/>
            <w:b/>
          </w:rPr>
          <w:t>Grad Room</w:t>
        </w:r>
        <w:r w:rsidR="008A0622" w:rsidRPr="004B45E6">
          <w:rPr>
            <w:rStyle w:val="Hyperlink"/>
            <w:rFonts w:ascii="Calibri" w:hAnsi="Calibri"/>
            <w:b/>
          </w:rPr>
          <w:t xml:space="preserve"> </w:t>
        </w:r>
      </w:hyperlink>
      <w:r w:rsidR="008A0622" w:rsidRPr="00752DE7">
        <w:rPr>
          <w:rFonts w:ascii="Calibri" w:hAnsi="Calibri"/>
        </w:rPr>
        <w:t xml:space="preserve">is an accessible space on the St. George campus which provides University of Toronto </w:t>
      </w:r>
      <w:r w:rsidR="008A0622" w:rsidRPr="00752DE7">
        <w:rPr>
          <w:rFonts w:ascii="Calibri" w:hAnsi="Calibri"/>
        </w:rPr>
        <w:lastRenderedPageBreak/>
        <w:t xml:space="preserve">graduate students with a lounge area and a space for academic, </w:t>
      </w:r>
      <w:proofErr w:type="gramStart"/>
      <w:r w:rsidR="008A0622" w:rsidRPr="00752DE7">
        <w:rPr>
          <w:rFonts w:ascii="Calibri" w:hAnsi="Calibri"/>
        </w:rPr>
        <w:t>social</w:t>
      </w:r>
      <w:proofErr w:type="gramEnd"/>
      <w:r w:rsidR="008A0622" w:rsidRPr="00752DE7">
        <w:rPr>
          <w:rFonts w:ascii="Calibri" w:hAnsi="Calibri"/>
        </w:rPr>
        <w:t xml:space="preserve"> and</w:t>
      </w:r>
      <w:r w:rsidRPr="00752DE7">
        <w:rPr>
          <w:rFonts w:ascii="Calibri" w:hAnsi="Calibri"/>
        </w:rPr>
        <w:t xml:space="preserve"> graduate</w:t>
      </w:r>
      <w:r w:rsidR="008A0622" w:rsidRPr="00752DE7">
        <w:rPr>
          <w:rFonts w:ascii="Calibri" w:hAnsi="Calibri"/>
        </w:rPr>
        <w:t xml:space="preserve"> professional </w:t>
      </w:r>
      <w:r w:rsidRPr="00752DE7">
        <w:rPr>
          <w:rFonts w:ascii="Calibri" w:hAnsi="Calibri"/>
        </w:rPr>
        <w:t xml:space="preserve">skills </w:t>
      </w:r>
      <w:r w:rsidR="008A0622" w:rsidRPr="00752DE7">
        <w:rPr>
          <w:rFonts w:ascii="Calibri" w:hAnsi="Calibri"/>
        </w:rPr>
        <w:t>programming.</w:t>
      </w:r>
      <w:r w:rsidR="00D63427" w:rsidRPr="00752DE7">
        <w:rPr>
          <w:rFonts w:ascii="Calibri" w:hAnsi="Calibri"/>
        </w:rPr>
        <w:t xml:space="preserve"> An additional lounge area for graduate students is available at </w:t>
      </w:r>
      <w:r w:rsidR="00CB3C59" w:rsidRPr="00752DE7">
        <w:rPr>
          <w:rFonts w:ascii="Calibri" w:hAnsi="Calibri"/>
        </w:rPr>
        <w:t>63 St. George</w:t>
      </w:r>
      <w:r w:rsidRPr="00752DE7">
        <w:rPr>
          <w:rFonts w:ascii="Calibri" w:hAnsi="Calibri"/>
        </w:rPr>
        <w:t>, which provides graduate students with a quiet place to read, relax or study.</w:t>
      </w:r>
    </w:p>
    <w:p w14:paraId="13F2FC3C" w14:textId="77777777" w:rsidR="008A0622" w:rsidRPr="00752DE7" w:rsidRDefault="008A0622" w:rsidP="005C3F37">
      <w:pPr>
        <w:rPr>
          <w:rFonts w:ascii="Calibri" w:hAnsi="Calibri"/>
        </w:rPr>
      </w:pPr>
    </w:p>
    <w:p w14:paraId="6BC34F1A" w14:textId="1A40FF6F" w:rsidR="008A0622" w:rsidRPr="00752DE7" w:rsidRDefault="008A0622" w:rsidP="005C3F37">
      <w:pPr>
        <w:rPr>
          <w:rFonts w:ascii="Calibri" w:hAnsi="Calibri"/>
        </w:rPr>
      </w:pPr>
      <w:r w:rsidRPr="00752DE7">
        <w:rPr>
          <w:rFonts w:ascii="Calibri" w:hAnsi="Calibri"/>
        </w:rPr>
        <w:t xml:space="preserve">Grad Room is </w:t>
      </w:r>
      <w:r w:rsidR="0007608E" w:rsidRPr="00752DE7">
        <w:rPr>
          <w:rFonts w:ascii="Calibri" w:hAnsi="Calibri"/>
        </w:rPr>
        <w:t xml:space="preserve">also </w:t>
      </w:r>
      <w:r w:rsidRPr="00752DE7">
        <w:rPr>
          <w:rFonts w:ascii="Calibri" w:hAnsi="Calibri"/>
        </w:rPr>
        <w:t xml:space="preserve">home to the </w:t>
      </w:r>
      <w:r w:rsidRPr="00FC1890">
        <w:rPr>
          <w:rStyle w:val="Strong"/>
        </w:rPr>
        <w:t>Graduate Professional Skills Program</w:t>
      </w:r>
      <w:r w:rsidRPr="00752DE7">
        <w:rPr>
          <w:rFonts w:ascii="Calibri" w:hAnsi="Calibri"/>
          <w:b/>
        </w:rPr>
        <w:t xml:space="preserve"> </w:t>
      </w:r>
      <w:r w:rsidRPr="00752DE7">
        <w:rPr>
          <w:rFonts w:ascii="Calibri" w:hAnsi="Calibri"/>
        </w:rPr>
        <w:t>(GPS).</w:t>
      </w:r>
      <w:r w:rsidR="00C14238">
        <w:rPr>
          <w:rFonts w:ascii="Calibri" w:hAnsi="Calibri"/>
        </w:rPr>
        <w:t xml:space="preserve"> </w:t>
      </w:r>
      <w:r w:rsidRPr="00752DE7">
        <w:rPr>
          <w:rFonts w:ascii="Calibri" w:hAnsi="Calibri"/>
        </w:rPr>
        <w:t>GPS</w:t>
      </w:r>
      <w:r w:rsidR="00E83074">
        <w:rPr>
          <w:rFonts w:ascii="Calibri" w:hAnsi="Calibri"/>
        </w:rPr>
        <w:t xml:space="preserve"> </w:t>
      </w:r>
      <w:r w:rsidRPr="00752DE7">
        <w:rPr>
          <w:rFonts w:ascii="Calibri" w:hAnsi="Calibri"/>
        </w:rPr>
        <w:t>is a non-academic program presented by SGS consisting of a variety of offerings that provide doctoral stream students a range of opportunities for professional skills development.</w:t>
      </w:r>
      <w:r w:rsidR="00C14238">
        <w:rPr>
          <w:rFonts w:ascii="Calibri" w:hAnsi="Calibri"/>
        </w:rPr>
        <w:t xml:space="preserve"> </w:t>
      </w:r>
      <w:r w:rsidRPr="00752DE7">
        <w:rPr>
          <w:rFonts w:ascii="Calibri" w:hAnsi="Calibri"/>
        </w:rPr>
        <w:t>The program focuses on skills beyond those conventionally learned within a disciplinary program, skills that may be critical to success in the wide range of careers that graduates enter, both within and outside academe.</w:t>
      </w:r>
      <w:r w:rsidR="00C14238">
        <w:rPr>
          <w:rFonts w:ascii="Calibri" w:hAnsi="Calibri"/>
        </w:rPr>
        <w:t xml:space="preserve"> </w:t>
      </w:r>
      <w:r w:rsidRPr="00752DE7">
        <w:rPr>
          <w:rFonts w:ascii="Calibri" w:hAnsi="Calibri"/>
        </w:rPr>
        <w:t>GPS aims to help students communicate effectively, plan and manage their time, be entrepreneurial, understand and apply ethical practices, and work effectively in teams and as leaders.</w:t>
      </w:r>
    </w:p>
    <w:p w14:paraId="4D0F1D08" w14:textId="77777777" w:rsidR="00D43395" w:rsidRDefault="00D43395" w:rsidP="0007608E"/>
    <w:p w14:paraId="7F007D6E" w14:textId="77777777" w:rsidR="005961E6" w:rsidRPr="00C14238" w:rsidRDefault="005961E6" w:rsidP="005961E6">
      <w:bookmarkStart w:id="0" w:name="_Hlk100843764"/>
      <w:r>
        <w:t xml:space="preserve">The </w:t>
      </w:r>
      <w:r w:rsidRPr="005961E6">
        <w:rPr>
          <w:b/>
        </w:rPr>
        <w:t>Centre for Graduate Mentorship &amp; Supervision (CGMS)</w:t>
      </w:r>
      <w:r>
        <w:t xml:space="preserve"> offers support to all members of the University of Toronto graduate community to help them achieve and maintain successful mentorship and supervisory relationships. Graduate students, supervisors, graduate chairs, and anyone else involved in the mentorship and supervisory relationship can contact CGMS about an issue or an incident and have a confidential conversation with trained staff. CGMS is dedicated to building capacity through consultation and skill development for both graduate students and supervisors, system navigation and collaboration with other University partners, and identifying and developing resources that are aligned with best practices in graduate mentorship and supervision. </w:t>
      </w:r>
    </w:p>
    <w:bookmarkEnd w:id="0"/>
    <w:p w14:paraId="2DA8B8AB" w14:textId="77777777" w:rsidR="00FE5B2B" w:rsidRPr="00752DE7" w:rsidRDefault="00FE5B2B" w:rsidP="005C3F37">
      <w:pPr>
        <w:rPr>
          <w:rFonts w:ascii="Calibri" w:hAnsi="Calibri"/>
        </w:rPr>
      </w:pPr>
    </w:p>
    <w:p w14:paraId="174C474D" w14:textId="77777777" w:rsidR="005961E6" w:rsidRPr="00752DE7" w:rsidRDefault="005961E6" w:rsidP="005961E6">
      <w:pPr>
        <w:rPr>
          <w:rFonts w:ascii="Calibri" w:hAnsi="Calibri"/>
        </w:rPr>
      </w:pPr>
      <w:r w:rsidRPr="00752DE7">
        <w:rPr>
          <w:rFonts w:ascii="Calibri" w:hAnsi="Calibri"/>
        </w:rPr>
        <w:t xml:space="preserve">The </w:t>
      </w:r>
      <w:hyperlink r:id="rId34" w:history="1">
        <w:r w:rsidRPr="0075533F">
          <w:rPr>
            <w:rStyle w:val="Hyperlink"/>
            <w:b/>
          </w:rPr>
          <w:t>Graduate Centre for Academic Communication</w:t>
        </w:r>
      </w:hyperlink>
      <w:r w:rsidRPr="0075533F">
        <w:rPr>
          <w:rFonts w:ascii="Calibri" w:hAnsi="Calibri"/>
          <w:b/>
        </w:rPr>
        <w:t xml:space="preserve"> </w:t>
      </w:r>
      <w:r w:rsidRPr="00752DE7">
        <w:rPr>
          <w:rFonts w:ascii="Calibri" w:hAnsi="Calibri"/>
        </w:rPr>
        <w:t>(GCAC) provides graduate students with advanced training in academic writing and speaking.</w:t>
      </w:r>
      <w:r>
        <w:rPr>
          <w:rFonts w:ascii="Calibri" w:hAnsi="Calibri"/>
        </w:rPr>
        <w:t xml:space="preserve"> </w:t>
      </w:r>
      <w:r w:rsidRPr="00752DE7">
        <w:rPr>
          <w:rFonts w:ascii="Calibri" w:hAnsi="Calibri"/>
        </w:rPr>
        <w:t xml:space="preserve">By emphasizing professional development rather than remediation, GCAC helps students </w:t>
      </w:r>
      <w:r>
        <w:rPr>
          <w:rFonts w:ascii="Calibri" w:hAnsi="Calibri"/>
        </w:rPr>
        <w:t>to become familiar with the new genres they encounter in graduate school – such as literature reviews, research grants, research articles, and dissertations – and to cultivate a range of strategies for communicating expertise effectively in both writing and speech</w:t>
      </w:r>
      <w:r w:rsidRPr="00752DE7">
        <w:rPr>
          <w:rFonts w:ascii="Calibri" w:hAnsi="Calibri"/>
        </w:rPr>
        <w:t>.</w:t>
      </w:r>
      <w:r>
        <w:rPr>
          <w:rFonts w:ascii="Calibri" w:hAnsi="Calibri"/>
        </w:rPr>
        <w:t xml:space="preserve"> </w:t>
      </w:r>
      <w:r w:rsidRPr="00752DE7">
        <w:rPr>
          <w:rFonts w:ascii="Calibri" w:hAnsi="Calibri"/>
        </w:rPr>
        <w:t xml:space="preserve">GCAC offers </w:t>
      </w:r>
      <w:r>
        <w:rPr>
          <w:rFonts w:ascii="Calibri" w:hAnsi="Calibri"/>
        </w:rPr>
        <w:t>five</w:t>
      </w:r>
      <w:r w:rsidRPr="00752DE7">
        <w:rPr>
          <w:rFonts w:ascii="Calibri" w:hAnsi="Calibri"/>
        </w:rPr>
        <w:t xml:space="preserve"> types of instruction designed to target the needs of both native and non-native speakers of English: non-credit courses, single-session workshops, individual writing consultations, </w:t>
      </w:r>
      <w:r>
        <w:rPr>
          <w:rFonts w:ascii="Calibri" w:hAnsi="Calibri"/>
        </w:rPr>
        <w:t xml:space="preserve">guest talks given by invitation within graduate courses, </w:t>
      </w:r>
      <w:r w:rsidRPr="00752DE7">
        <w:rPr>
          <w:rFonts w:ascii="Calibri" w:hAnsi="Calibri"/>
        </w:rPr>
        <w:t>and writing boot camps.</w:t>
      </w:r>
    </w:p>
    <w:p w14:paraId="55435BE6" w14:textId="1075EE86" w:rsidR="008A0622" w:rsidRPr="00752DE7" w:rsidRDefault="008A0622" w:rsidP="005961E6">
      <w:pPr>
        <w:rPr>
          <w:rFonts w:ascii="Calibri" w:hAnsi="Calibri"/>
        </w:rPr>
      </w:pPr>
    </w:p>
    <w:sectPr w:rsidR="008A0622" w:rsidRPr="00752DE7" w:rsidSect="009055B4">
      <w:footerReference w:type="default" r:id="rId35"/>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0F4C" w14:textId="77777777" w:rsidR="00ED2710" w:rsidRDefault="00ED2710">
      <w:r>
        <w:separator/>
      </w:r>
    </w:p>
  </w:endnote>
  <w:endnote w:type="continuationSeparator" w:id="0">
    <w:p w14:paraId="4789F855" w14:textId="77777777" w:rsidR="00ED2710" w:rsidRDefault="00ED2710">
      <w:r>
        <w:continuationSeparator/>
      </w:r>
    </w:p>
  </w:endnote>
  <w:endnote w:type="continuationNotice" w:id="1">
    <w:p w14:paraId="500C700A" w14:textId="77777777" w:rsidR="00ED2710" w:rsidRDefault="00ED27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News Gothic MT 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Bold Cond">
    <w:panose1 w:val="00000000000000000000"/>
    <w:charset w:val="00"/>
    <w:family w:val="auto"/>
    <w:notTrueType/>
    <w:pitch w:val="variable"/>
    <w:sig w:usb0="00000003" w:usb1="00000000" w:usb2="00000000" w:usb3="00000000" w:csb0="00000001" w:csb1="00000000"/>
  </w:font>
  <w:font w:name="Myriad Pro Semibold It">
    <w:panose1 w:val="00000000000000000000"/>
    <w:charset w:val="00"/>
    <w:family w:val="auto"/>
    <w:notTrueType/>
    <w:pitch w:val="variable"/>
    <w:sig w:usb0="00000003" w:usb1="00000000" w:usb2="00000000" w:usb3="00000000" w:csb0="00000001" w:csb1="00000000"/>
  </w:font>
  <w:font w:name="News Gothic MT Cn Bd">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AGaramond">
    <w:altName w:val="Calibri"/>
    <w:panose1 w:val="00000000000000000000"/>
    <w:charset w:val="00"/>
    <w:family w:val="auto"/>
    <w:notTrueType/>
    <w:pitch w:val="variable"/>
    <w:sig w:usb0="00000003" w:usb1="00000000" w:usb2="00000000" w:usb3="00000000" w:csb0="00000001" w:csb1="00000000"/>
  </w:font>
  <w:font w:name="AGaramond Semibold">
    <w:panose1 w:val="00000000000000000000"/>
    <w:charset w:val="00"/>
    <w:family w:val="auto"/>
    <w:notTrueType/>
    <w:pitch w:val="variable"/>
    <w:sig w:usb0="00000003" w:usb1="00000000" w:usb2="00000000" w:usb3="00000000" w:csb0="00000001" w:csb1="00000000"/>
  </w:font>
  <w:font w:name="News Gothic MT C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C325" w14:textId="38ADC296" w:rsidR="0024185C" w:rsidRPr="00752DE7" w:rsidRDefault="0024185C">
    <w:pPr>
      <w:pStyle w:val="Footer"/>
      <w:rPr>
        <w:rFonts w:ascii="Calibri" w:hAnsi="Calibri"/>
        <w:lang w:val="en-CA"/>
      </w:rPr>
    </w:pPr>
    <w:r w:rsidRPr="00752DE7">
      <w:rPr>
        <w:rFonts w:ascii="Calibri" w:hAnsi="Calibri"/>
        <w:lang w:val="en-CA"/>
      </w:rPr>
      <w:t xml:space="preserve">Revised: </w:t>
    </w:r>
    <w:r w:rsidR="005961E6">
      <w:rPr>
        <w:rFonts w:ascii="Calibri" w:hAnsi="Calibri"/>
        <w:lang w:val="en-CA"/>
      </w:rPr>
      <w:t xml:space="preserve">April </w:t>
    </w:r>
    <w:r w:rsidR="00287110" w:rsidRPr="00752DE7">
      <w:rPr>
        <w:rFonts w:ascii="Calibri" w:hAnsi="Calibri"/>
        <w:lang w:val="en-CA"/>
      </w:rPr>
      <w:t>20</w:t>
    </w:r>
    <w:r w:rsidR="009A2E03">
      <w:rPr>
        <w:rFonts w:ascii="Calibri" w:hAnsi="Calibri"/>
        <w:lang w:val="en-CA"/>
      </w:rPr>
      <w:t>2</w:t>
    </w:r>
    <w:r w:rsidR="005961E6">
      <w:rPr>
        <w:rFonts w:ascii="Calibri" w:hAnsi="Calibri"/>
        <w:lang w:val="en-C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6A33" w14:textId="77777777" w:rsidR="00ED2710" w:rsidRDefault="00ED2710">
      <w:r>
        <w:separator/>
      </w:r>
    </w:p>
  </w:footnote>
  <w:footnote w:type="continuationSeparator" w:id="0">
    <w:p w14:paraId="71586432" w14:textId="77777777" w:rsidR="00ED2710" w:rsidRDefault="00ED2710">
      <w:r>
        <w:continuationSeparator/>
      </w:r>
    </w:p>
  </w:footnote>
  <w:footnote w:type="continuationNotice" w:id="1">
    <w:p w14:paraId="585E7330" w14:textId="77777777" w:rsidR="00ED2710" w:rsidRDefault="00ED271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4223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0A6F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3A89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58DC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0A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A87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FA5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BEF1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CE6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5EC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6E6459"/>
    <w:multiLevelType w:val="hybridMultilevel"/>
    <w:tmpl w:val="FC1C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55512"/>
    <w:multiLevelType w:val="hybridMultilevel"/>
    <w:tmpl w:val="B45CA592"/>
    <w:lvl w:ilvl="0" w:tplc="547EF860">
      <w:start w:val="1"/>
      <w:numFmt w:val="bullet"/>
      <w:lvlText w:val=""/>
      <w:lvlJc w:val="left"/>
      <w:pPr>
        <w:ind w:left="720" w:hanging="360"/>
      </w:pPr>
      <w:rPr>
        <w:rFonts w:ascii="Symbol" w:hAnsi="Symbol" w:hint="default"/>
      </w:rPr>
    </w:lvl>
    <w:lvl w:ilvl="1" w:tplc="1AD272A6">
      <w:start w:val="1"/>
      <w:numFmt w:val="bullet"/>
      <w:lvlText w:val="o"/>
      <w:lvlJc w:val="left"/>
      <w:pPr>
        <w:ind w:left="1440" w:hanging="360"/>
      </w:pPr>
      <w:rPr>
        <w:rFonts w:ascii="Courier New" w:hAnsi="Courier New" w:hint="default"/>
      </w:rPr>
    </w:lvl>
    <w:lvl w:ilvl="2" w:tplc="B8426CF4">
      <w:start w:val="1"/>
      <w:numFmt w:val="bullet"/>
      <w:lvlText w:val=""/>
      <w:lvlJc w:val="left"/>
      <w:pPr>
        <w:ind w:left="2160" w:hanging="360"/>
      </w:pPr>
      <w:rPr>
        <w:rFonts w:ascii="Wingdings" w:hAnsi="Wingdings" w:hint="default"/>
      </w:rPr>
    </w:lvl>
    <w:lvl w:ilvl="3" w:tplc="2F7AE9CE">
      <w:start w:val="1"/>
      <w:numFmt w:val="bullet"/>
      <w:lvlText w:val=""/>
      <w:lvlJc w:val="left"/>
      <w:pPr>
        <w:ind w:left="2880" w:hanging="360"/>
      </w:pPr>
      <w:rPr>
        <w:rFonts w:ascii="Symbol" w:hAnsi="Symbol" w:hint="default"/>
      </w:rPr>
    </w:lvl>
    <w:lvl w:ilvl="4" w:tplc="16086F26">
      <w:start w:val="1"/>
      <w:numFmt w:val="bullet"/>
      <w:lvlText w:val="o"/>
      <w:lvlJc w:val="left"/>
      <w:pPr>
        <w:ind w:left="3600" w:hanging="360"/>
      </w:pPr>
      <w:rPr>
        <w:rFonts w:ascii="Courier New" w:hAnsi="Courier New" w:hint="default"/>
      </w:rPr>
    </w:lvl>
    <w:lvl w:ilvl="5" w:tplc="761EF63E">
      <w:start w:val="1"/>
      <w:numFmt w:val="bullet"/>
      <w:lvlText w:val=""/>
      <w:lvlJc w:val="left"/>
      <w:pPr>
        <w:ind w:left="4320" w:hanging="360"/>
      </w:pPr>
      <w:rPr>
        <w:rFonts w:ascii="Wingdings" w:hAnsi="Wingdings" w:hint="default"/>
      </w:rPr>
    </w:lvl>
    <w:lvl w:ilvl="6" w:tplc="39ACD7A6">
      <w:start w:val="1"/>
      <w:numFmt w:val="bullet"/>
      <w:lvlText w:val=""/>
      <w:lvlJc w:val="left"/>
      <w:pPr>
        <w:ind w:left="5040" w:hanging="360"/>
      </w:pPr>
      <w:rPr>
        <w:rFonts w:ascii="Symbol" w:hAnsi="Symbol" w:hint="default"/>
      </w:rPr>
    </w:lvl>
    <w:lvl w:ilvl="7" w:tplc="75140640">
      <w:start w:val="1"/>
      <w:numFmt w:val="bullet"/>
      <w:lvlText w:val="o"/>
      <w:lvlJc w:val="left"/>
      <w:pPr>
        <w:ind w:left="5760" w:hanging="360"/>
      </w:pPr>
      <w:rPr>
        <w:rFonts w:ascii="Courier New" w:hAnsi="Courier New" w:hint="default"/>
      </w:rPr>
    </w:lvl>
    <w:lvl w:ilvl="8" w:tplc="3E186C8C">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F3"/>
    <w:rsid w:val="00007094"/>
    <w:rsid w:val="000315C8"/>
    <w:rsid w:val="00075374"/>
    <w:rsid w:val="0007608E"/>
    <w:rsid w:val="0009487A"/>
    <w:rsid w:val="00097280"/>
    <w:rsid w:val="000F687B"/>
    <w:rsid w:val="00102207"/>
    <w:rsid w:val="00104308"/>
    <w:rsid w:val="001459E7"/>
    <w:rsid w:val="00180677"/>
    <w:rsid w:val="001A7974"/>
    <w:rsid w:val="001B38AA"/>
    <w:rsid w:val="001D2FEC"/>
    <w:rsid w:val="001E027B"/>
    <w:rsid w:val="001F3517"/>
    <w:rsid w:val="00203F22"/>
    <w:rsid w:val="0024185C"/>
    <w:rsid w:val="00287110"/>
    <w:rsid w:val="002A1E83"/>
    <w:rsid w:val="00300F52"/>
    <w:rsid w:val="0031353D"/>
    <w:rsid w:val="0031724E"/>
    <w:rsid w:val="00343322"/>
    <w:rsid w:val="003441B6"/>
    <w:rsid w:val="00351927"/>
    <w:rsid w:val="00380BD1"/>
    <w:rsid w:val="003B1F8E"/>
    <w:rsid w:val="003C3E6C"/>
    <w:rsid w:val="003D7084"/>
    <w:rsid w:val="003D7EDE"/>
    <w:rsid w:val="003E490B"/>
    <w:rsid w:val="003E59DD"/>
    <w:rsid w:val="003F6AB8"/>
    <w:rsid w:val="00402A7E"/>
    <w:rsid w:val="00483A73"/>
    <w:rsid w:val="00484617"/>
    <w:rsid w:val="004B3698"/>
    <w:rsid w:val="004B45E6"/>
    <w:rsid w:val="004F77EC"/>
    <w:rsid w:val="0058436C"/>
    <w:rsid w:val="00585BDE"/>
    <w:rsid w:val="00592CA5"/>
    <w:rsid w:val="005961E6"/>
    <w:rsid w:val="005C3F37"/>
    <w:rsid w:val="00634400"/>
    <w:rsid w:val="0064A6E6"/>
    <w:rsid w:val="006C1B67"/>
    <w:rsid w:val="006F5BB7"/>
    <w:rsid w:val="00745354"/>
    <w:rsid w:val="00752DE7"/>
    <w:rsid w:val="0075533F"/>
    <w:rsid w:val="00771E74"/>
    <w:rsid w:val="00795306"/>
    <w:rsid w:val="007A72A8"/>
    <w:rsid w:val="007B2BCE"/>
    <w:rsid w:val="007B3D98"/>
    <w:rsid w:val="007E7CB9"/>
    <w:rsid w:val="007F3B43"/>
    <w:rsid w:val="00811E08"/>
    <w:rsid w:val="00826FA9"/>
    <w:rsid w:val="00831191"/>
    <w:rsid w:val="00837D14"/>
    <w:rsid w:val="008519F1"/>
    <w:rsid w:val="00867DD0"/>
    <w:rsid w:val="0087386F"/>
    <w:rsid w:val="00880D97"/>
    <w:rsid w:val="00881196"/>
    <w:rsid w:val="00897667"/>
    <w:rsid w:val="008A0622"/>
    <w:rsid w:val="008D7C16"/>
    <w:rsid w:val="008E7AC2"/>
    <w:rsid w:val="009055B4"/>
    <w:rsid w:val="009938DE"/>
    <w:rsid w:val="009A2E03"/>
    <w:rsid w:val="009E00B2"/>
    <w:rsid w:val="009E55CC"/>
    <w:rsid w:val="009E67F3"/>
    <w:rsid w:val="00A018D2"/>
    <w:rsid w:val="00A16D10"/>
    <w:rsid w:val="00A33F4E"/>
    <w:rsid w:val="00A37776"/>
    <w:rsid w:val="00A453CE"/>
    <w:rsid w:val="00AB0AC3"/>
    <w:rsid w:val="00AD47C4"/>
    <w:rsid w:val="00AE08E6"/>
    <w:rsid w:val="00AE4EF1"/>
    <w:rsid w:val="00B33992"/>
    <w:rsid w:val="00B35DE7"/>
    <w:rsid w:val="00B9534D"/>
    <w:rsid w:val="00BD1A18"/>
    <w:rsid w:val="00BD43DA"/>
    <w:rsid w:val="00BE5CA6"/>
    <w:rsid w:val="00BF4A6E"/>
    <w:rsid w:val="00C14238"/>
    <w:rsid w:val="00C216F2"/>
    <w:rsid w:val="00C3774A"/>
    <w:rsid w:val="00C50498"/>
    <w:rsid w:val="00C52A9B"/>
    <w:rsid w:val="00C66D8E"/>
    <w:rsid w:val="00CB3C59"/>
    <w:rsid w:val="00D058D9"/>
    <w:rsid w:val="00D15DEC"/>
    <w:rsid w:val="00D212BC"/>
    <w:rsid w:val="00D21A46"/>
    <w:rsid w:val="00D43395"/>
    <w:rsid w:val="00D4754B"/>
    <w:rsid w:val="00D63427"/>
    <w:rsid w:val="00DB0FBB"/>
    <w:rsid w:val="00DC3E09"/>
    <w:rsid w:val="00DC4A35"/>
    <w:rsid w:val="00DD4389"/>
    <w:rsid w:val="00DF5F57"/>
    <w:rsid w:val="00E220BA"/>
    <w:rsid w:val="00E24F7A"/>
    <w:rsid w:val="00E83074"/>
    <w:rsid w:val="00E94EA6"/>
    <w:rsid w:val="00E94EC4"/>
    <w:rsid w:val="00EA085B"/>
    <w:rsid w:val="00EC5BA7"/>
    <w:rsid w:val="00ED2710"/>
    <w:rsid w:val="00EF14D0"/>
    <w:rsid w:val="00F113FE"/>
    <w:rsid w:val="00F34C69"/>
    <w:rsid w:val="00F56378"/>
    <w:rsid w:val="00FB310C"/>
    <w:rsid w:val="00FB33DB"/>
    <w:rsid w:val="00FC1890"/>
    <w:rsid w:val="00FD2445"/>
    <w:rsid w:val="00FD24D7"/>
    <w:rsid w:val="00FE5B2B"/>
    <w:rsid w:val="0169E207"/>
    <w:rsid w:val="01D5BFA9"/>
    <w:rsid w:val="033411AB"/>
    <w:rsid w:val="04CFE20C"/>
    <w:rsid w:val="04D62221"/>
    <w:rsid w:val="050952FA"/>
    <w:rsid w:val="05105BB6"/>
    <w:rsid w:val="066BB26D"/>
    <w:rsid w:val="0673C155"/>
    <w:rsid w:val="08BD720F"/>
    <w:rsid w:val="09B399B1"/>
    <w:rsid w:val="0BF8F24B"/>
    <w:rsid w:val="0C501541"/>
    <w:rsid w:val="0CDEBD2F"/>
    <w:rsid w:val="0ED92AE6"/>
    <w:rsid w:val="0EF7FAAF"/>
    <w:rsid w:val="0F57EB5E"/>
    <w:rsid w:val="10582276"/>
    <w:rsid w:val="10A97297"/>
    <w:rsid w:val="10F483A6"/>
    <w:rsid w:val="129B0F62"/>
    <w:rsid w:val="12A89641"/>
    <w:rsid w:val="14B6A94A"/>
    <w:rsid w:val="150BBD80"/>
    <w:rsid w:val="157DAF66"/>
    <w:rsid w:val="162D1F95"/>
    <w:rsid w:val="16B17954"/>
    <w:rsid w:val="175C70CD"/>
    <w:rsid w:val="1974EE77"/>
    <w:rsid w:val="1A2DAFAE"/>
    <w:rsid w:val="1A2DCE6B"/>
    <w:rsid w:val="1AEBFDCD"/>
    <w:rsid w:val="1BACD1CF"/>
    <w:rsid w:val="1C05E45E"/>
    <w:rsid w:val="1CBE952B"/>
    <w:rsid w:val="1DAADA8C"/>
    <w:rsid w:val="1E6E64C8"/>
    <w:rsid w:val="21D1488E"/>
    <w:rsid w:val="22BF23CA"/>
    <w:rsid w:val="22F27A40"/>
    <w:rsid w:val="237A6D4B"/>
    <w:rsid w:val="23A27534"/>
    <w:rsid w:val="25591667"/>
    <w:rsid w:val="25C6F7D0"/>
    <w:rsid w:val="275482C4"/>
    <w:rsid w:val="2893C456"/>
    <w:rsid w:val="2A83C39C"/>
    <w:rsid w:val="2BDDDA7D"/>
    <w:rsid w:val="2BF14F18"/>
    <w:rsid w:val="2C590E96"/>
    <w:rsid w:val="2C6BBD64"/>
    <w:rsid w:val="2CACB3A1"/>
    <w:rsid w:val="2D623E3B"/>
    <w:rsid w:val="2EBC70B1"/>
    <w:rsid w:val="2F859402"/>
    <w:rsid w:val="30249B73"/>
    <w:rsid w:val="3237A5C4"/>
    <w:rsid w:val="394CADA4"/>
    <w:rsid w:val="39BC2069"/>
    <w:rsid w:val="3AB0A3F4"/>
    <w:rsid w:val="3ADB2C5F"/>
    <w:rsid w:val="3B391A44"/>
    <w:rsid w:val="3C942BA9"/>
    <w:rsid w:val="3E07E14B"/>
    <w:rsid w:val="400265B3"/>
    <w:rsid w:val="40638C73"/>
    <w:rsid w:val="40FEEDB2"/>
    <w:rsid w:val="419B79C7"/>
    <w:rsid w:val="41CF31BD"/>
    <w:rsid w:val="42599533"/>
    <w:rsid w:val="44899526"/>
    <w:rsid w:val="458C9E17"/>
    <w:rsid w:val="46757B23"/>
    <w:rsid w:val="46B734A3"/>
    <w:rsid w:val="4A37A0DF"/>
    <w:rsid w:val="4D104322"/>
    <w:rsid w:val="4D4DBCC5"/>
    <w:rsid w:val="4D6F41A1"/>
    <w:rsid w:val="4DA82C36"/>
    <w:rsid w:val="4E10910B"/>
    <w:rsid w:val="4E19B100"/>
    <w:rsid w:val="5135587B"/>
    <w:rsid w:val="520F1E30"/>
    <w:rsid w:val="5486F798"/>
    <w:rsid w:val="5545B78F"/>
    <w:rsid w:val="55801147"/>
    <w:rsid w:val="558A4C63"/>
    <w:rsid w:val="55E3917F"/>
    <w:rsid w:val="5622C7F9"/>
    <w:rsid w:val="56717466"/>
    <w:rsid w:val="57626597"/>
    <w:rsid w:val="5D4935F0"/>
    <w:rsid w:val="5D4C98F8"/>
    <w:rsid w:val="5EB4F921"/>
    <w:rsid w:val="6065F534"/>
    <w:rsid w:val="641CEA08"/>
    <w:rsid w:val="64CF4185"/>
    <w:rsid w:val="653670FF"/>
    <w:rsid w:val="68D3E57F"/>
    <w:rsid w:val="6981BC28"/>
    <w:rsid w:val="6A09E222"/>
    <w:rsid w:val="6CFEC73A"/>
    <w:rsid w:val="6E00A834"/>
    <w:rsid w:val="6E4BEB2E"/>
    <w:rsid w:val="6E5ECDCC"/>
    <w:rsid w:val="6EB649C1"/>
    <w:rsid w:val="72471C88"/>
    <w:rsid w:val="74837F23"/>
    <w:rsid w:val="7770742D"/>
    <w:rsid w:val="77C5F518"/>
    <w:rsid w:val="7A08D1A8"/>
    <w:rsid w:val="7A3E7065"/>
    <w:rsid w:val="7BB9CBB0"/>
    <w:rsid w:val="7CF864BA"/>
    <w:rsid w:val="7D6BA255"/>
    <w:rsid w:val="7FE6B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EC34D"/>
  <w15:docId w15:val="{449F67ED-BA00-4866-9B85-7C5EAD2A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90"/>
    <w:pPr>
      <w:spacing w:line="288" w:lineRule="auto"/>
      <w:contextualSpacing/>
    </w:pPr>
    <w:rPr>
      <w:rFonts w:asciiTheme="minorHAnsi" w:hAnsiTheme="minorHAnsi"/>
      <w:sz w:val="24"/>
      <w:szCs w:val="24"/>
    </w:rPr>
  </w:style>
  <w:style w:type="paragraph" w:styleId="Heading1">
    <w:name w:val="heading 1"/>
    <w:basedOn w:val="Normal"/>
    <w:next w:val="Normal"/>
    <w:link w:val="Heading1Char"/>
    <w:uiPriority w:val="99"/>
    <w:qFormat/>
    <w:rsid w:val="00FC1890"/>
    <w:pPr>
      <w:jc w:val="center"/>
      <w:outlineLvl w:val="0"/>
    </w:pPr>
    <w:rPr>
      <w:rFonts w:ascii="Lucida Bright" w:hAnsi="Lucida Bright"/>
      <w:b/>
      <w:sz w:val="32"/>
      <w:szCs w:val="32"/>
    </w:rPr>
  </w:style>
  <w:style w:type="paragraph" w:styleId="Heading2">
    <w:name w:val="heading 2"/>
    <w:basedOn w:val="Normal"/>
    <w:next w:val="Normal"/>
    <w:link w:val="Heading2Char"/>
    <w:uiPriority w:val="99"/>
    <w:qFormat/>
    <w:rsid w:val="00DD4389"/>
    <w:pPr>
      <w:keepNext/>
      <w:spacing w:before="240" w:after="60"/>
      <w:ind w:left="288"/>
      <w:outlineLvl w:val="1"/>
    </w:pPr>
    <w:rPr>
      <w:rFonts w:ascii="News Gothic MT Bold" w:hAnsi="News Gothic MT Bold"/>
      <w:color w:val="4777CD"/>
      <w:szCs w:val="20"/>
    </w:rPr>
  </w:style>
  <w:style w:type="paragraph" w:styleId="Heading3">
    <w:name w:val="heading 3"/>
    <w:basedOn w:val="Normal"/>
    <w:next w:val="Normal"/>
    <w:link w:val="Heading3Char"/>
    <w:uiPriority w:val="99"/>
    <w:qFormat/>
    <w:rsid w:val="00DD4389"/>
    <w:pPr>
      <w:keepNext/>
      <w:spacing w:before="120"/>
      <w:outlineLvl w:val="2"/>
    </w:pPr>
    <w:rPr>
      <w:rFonts w:ascii="News Gothic MT Bold" w:hAnsi="News Gothic MT Bold"/>
      <w:sz w:val="20"/>
      <w:szCs w:val="20"/>
    </w:rPr>
  </w:style>
  <w:style w:type="paragraph" w:styleId="Heading4">
    <w:name w:val="heading 4"/>
    <w:basedOn w:val="Normal"/>
    <w:next w:val="Normal"/>
    <w:link w:val="Heading4Char"/>
    <w:uiPriority w:val="99"/>
    <w:qFormat/>
    <w:rsid w:val="00DD4389"/>
    <w:pPr>
      <w:keepNext/>
      <w:pBdr>
        <w:bottom w:val="single" w:sz="4" w:space="1" w:color="auto"/>
      </w:pBdr>
      <w:spacing w:before="120"/>
      <w:outlineLvl w:val="3"/>
    </w:pPr>
    <w:rPr>
      <w:rFonts w:ascii="News Gothic MT Bold" w:hAnsi="News Gothic MT Bold"/>
      <w:sz w:val="9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1890"/>
    <w:rPr>
      <w:rFonts w:ascii="Lucida Bright" w:hAnsi="Lucida Bright"/>
      <w:b/>
      <w:sz w:val="32"/>
      <w:szCs w:val="32"/>
    </w:rPr>
  </w:style>
  <w:style w:type="character" w:customStyle="1" w:styleId="Heading2Char">
    <w:name w:val="Heading 2 Char"/>
    <w:basedOn w:val="DefaultParagraphFont"/>
    <w:link w:val="Heading2"/>
    <w:uiPriority w:val="99"/>
    <w:semiHidden/>
    <w:locked/>
    <w:rsid w:val="00D212B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212B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212BC"/>
    <w:rPr>
      <w:rFonts w:ascii="Calibri" w:hAnsi="Calibri" w:cs="Times New Roman"/>
      <w:b/>
      <w:bCs/>
      <w:sz w:val="28"/>
      <w:szCs w:val="28"/>
    </w:rPr>
  </w:style>
  <w:style w:type="paragraph" w:styleId="BodyText">
    <w:name w:val="Body Text"/>
    <w:basedOn w:val="Normal"/>
    <w:link w:val="BodyTextChar"/>
    <w:uiPriority w:val="99"/>
    <w:rsid w:val="00DD4389"/>
    <w:pPr>
      <w:widowControl w:val="0"/>
      <w:spacing w:after="240"/>
    </w:pPr>
    <w:rPr>
      <w:rFonts w:ascii="Arial" w:hAnsi="Arial"/>
      <w:kern w:val="28"/>
      <w:sz w:val="22"/>
      <w:szCs w:val="20"/>
    </w:rPr>
  </w:style>
  <w:style w:type="character" w:customStyle="1" w:styleId="BodyTextChar">
    <w:name w:val="Body Text Char"/>
    <w:basedOn w:val="DefaultParagraphFont"/>
    <w:link w:val="BodyText"/>
    <w:uiPriority w:val="99"/>
    <w:semiHidden/>
    <w:locked/>
    <w:rsid w:val="00D212BC"/>
    <w:rPr>
      <w:rFonts w:cs="Times New Roman"/>
      <w:sz w:val="24"/>
      <w:szCs w:val="24"/>
    </w:rPr>
  </w:style>
  <w:style w:type="paragraph" w:customStyle="1" w:styleId="SectionHead">
    <w:name w:val="Section Head"/>
    <w:basedOn w:val="Normal"/>
    <w:uiPriority w:val="99"/>
    <w:rsid w:val="00DD4389"/>
    <w:pPr>
      <w:pBdr>
        <w:bottom w:val="single" w:sz="4" w:space="1" w:color="auto"/>
      </w:pBdr>
      <w:spacing w:before="240" w:after="60"/>
    </w:pPr>
    <w:rPr>
      <w:rFonts w:ascii="Myriad Pro Bold Cond" w:hAnsi="Myriad Pro Bold Cond"/>
      <w:caps/>
      <w:color w:val="000000"/>
      <w:sz w:val="28"/>
      <w:szCs w:val="20"/>
    </w:rPr>
  </w:style>
  <w:style w:type="paragraph" w:customStyle="1" w:styleId="Subheading">
    <w:name w:val="Subheading"/>
    <w:basedOn w:val="Normal"/>
    <w:uiPriority w:val="99"/>
    <w:rsid w:val="00DD4389"/>
    <w:pPr>
      <w:spacing w:before="120"/>
    </w:pPr>
    <w:rPr>
      <w:rFonts w:ascii="Myriad Pro Semibold It" w:hAnsi="Myriad Pro Semibold It"/>
      <w:i/>
      <w:color w:val="000000"/>
      <w:sz w:val="22"/>
      <w:szCs w:val="20"/>
    </w:rPr>
  </w:style>
  <w:style w:type="paragraph" w:customStyle="1" w:styleId="Sub-section">
    <w:name w:val="Sub-section"/>
    <w:basedOn w:val="SectionHead"/>
    <w:uiPriority w:val="99"/>
    <w:rsid w:val="00DD4389"/>
    <w:pPr>
      <w:pBdr>
        <w:bottom w:val="none" w:sz="0" w:space="0" w:color="auto"/>
      </w:pBdr>
      <w:spacing w:before="120" w:after="0"/>
    </w:pPr>
    <w:rPr>
      <w:caps w:val="0"/>
      <w:sz w:val="24"/>
    </w:rPr>
  </w:style>
  <w:style w:type="paragraph" w:customStyle="1" w:styleId="Table">
    <w:name w:val="Table"/>
    <w:basedOn w:val="Heading2"/>
    <w:uiPriority w:val="99"/>
    <w:rsid w:val="00DD4389"/>
    <w:pPr>
      <w:framePr w:hSpace="187" w:wrap="around" w:vAnchor="page" w:hAnchor="text" w:xAlign="right" w:yAlign="center"/>
      <w:ind w:left="0"/>
      <w:suppressOverlap/>
      <w:jc w:val="center"/>
    </w:pPr>
    <w:rPr>
      <w:rFonts w:ascii="News Gothic MT Cn Bd" w:hAnsi="News Gothic MT Cn Bd"/>
      <w:color w:val="auto"/>
      <w:sz w:val="22"/>
    </w:rPr>
  </w:style>
  <w:style w:type="paragraph" w:styleId="BalloonText">
    <w:name w:val="Balloon Text"/>
    <w:basedOn w:val="Normal"/>
    <w:link w:val="BalloonTextChar"/>
    <w:uiPriority w:val="99"/>
    <w:semiHidden/>
    <w:rsid w:val="00DD438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D212BC"/>
    <w:rPr>
      <w:rFonts w:ascii="Times New Roman" w:hAnsi="Times New Roman" w:cs="Times New Roman"/>
      <w:sz w:val="2"/>
    </w:rPr>
  </w:style>
  <w:style w:type="paragraph" w:customStyle="1" w:styleId="PromisingPractices">
    <w:name w:val="Promising Practices"/>
    <w:basedOn w:val="Normal"/>
    <w:uiPriority w:val="99"/>
    <w:rsid w:val="00DD4389"/>
    <w:pPr>
      <w:framePr w:w="4680" w:h="2880" w:hSpace="180" w:wrap="around" w:vAnchor="text" w:hAnchor="text" w:x="1341" w:y="5224"/>
      <w:pBdr>
        <w:top w:val="single" w:sz="18" w:space="11" w:color="808080"/>
        <w:left w:val="single" w:sz="18" w:space="11" w:color="808080"/>
        <w:bottom w:val="single" w:sz="18" w:space="11" w:color="808080"/>
        <w:right w:val="single" w:sz="18" w:space="11" w:color="808080"/>
      </w:pBdr>
      <w:shd w:val="clear" w:color="FFFFFF" w:fill="auto"/>
      <w:spacing w:before="60"/>
    </w:pPr>
    <w:rPr>
      <w:rFonts w:ascii="AGaramond" w:hAnsi="AGaramond"/>
      <w:sz w:val="22"/>
      <w:szCs w:val="20"/>
    </w:rPr>
  </w:style>
  <w:style w:type="paragraph" w:customStyle="1" w:styleId="Promisinghead">
    <w:name w:val="Promising head"/>
    <w:basedOn w:val="PromisingPractices"/>
    <w:uiPriority w:val="99"/>
    <w:rsid w:val="00DD4389"/>
    <w:pPr>
      <w:framePr w:w="0" w:hRule="auto" w:hSpace="0" w:wrap="auto" w:vAnchor="margin" w:xAlign="left" w:yAlign="inline"/>
      <w:pBdr>
        <w:top w:val="none" w:sz="0" w:space="0" w:color="auto"/>
        <w:left w:val="none" w:sz="0" w:space="0" w:color="auto"/>
        <w:bottom w:val="none" w:sz="0" w:space="0" w:color="auto"/>
        <w:right w:val="none" w:sz="0" w:space="0" w:color="auto"/>
      </w:pBdr>
    </w:pPr>
    <w:rPr>
      <w:rFonts w:ascii="AGaramond Semibold" w:hAnsi="AGaramond Semibold"/>
      <w:color w:val="4777CD"/>
      <w:sz w:val="26"/>
    </w:rPr>
  </w:style>
  <w:style w:type="paragraph" w:customStyle="1" w:styleId="TableHead">
    <w:name w:val="Table Head"/>
    <w:basedOn w:val="Table"/>
    <w:uiPriority w:val="99"/>
    <w:rsid w:val="00DD4389"/>
    <w:pPr>
      <w:framePr w:wrap="around"/>
    </w:pPr>
  </w:style>
  <w:style w:type="paragraph" w:customStyle="1" w:styleId="Tabletext">
    <w:name w:val="Table text"/>
    <w:basedOn w:val="Heading2"/>
    <w:uiPriority w:val="99"/>
    <w:rsid w:val="00DD4389"/>
    <w:pPr>
      <w:framePr w:hSpace="187" w:vSpace="374" w:wrap="around" w:vAnchor="text" w:hAnchor="margin" w:xAlign="center" w:y="1441"/>
      <w:ind w:left="0"/>
      <w:suppressOverlap/>
    </w:pPr>
    <w:rPr>
      <w:rFonts w:ascii="News Gothic MT Cn" w:hAnsi="News Gothic MT Cn"/>
      <w:color w:val="auto"/>
      <w:sz w:val="22"/>
    </w:rPr>
  </w:style>
  <w:style w:type="paragraph" w:styleId="FootnoteText">
    <w:name w:val="footnote text"/>
    <w:basedOn w:val="Normal"/>
    <w:link w:val="FootnoteTextChar"/>
    <w:uiPriority w:val="99"/>
    <w:rsid w:val="00DD4389"/>
    <w:pPr>
      <w:spacing w:before="120"/>
    </w:pPr>
    <w:rPr>
      <w:rFonts w:ascii="AGaramond" w:hAnsi="AGaramond"/>
      <w:szCs w:val="20"/>
    </w:rPr>
  </w:style>
  <w:style w:type="character" w:customStyle="1" w:styleId="FootnoteTextChar">
    <w:name w:val="Footnote Text Char"/>
    <w:basedOn w:val="DefaultParagraphFont"/>
    <w:link w:val="FootnoteText"/>
    <w:uiPriority w:val="99"/>
    <w:semiHidden/>
    <w:locked/>
    <w:rsid w:val="00D212BC"/>
    <w:rPr>
      <w:rFonts w:cs="Times New Roman"/>
      <w:sz w:val="20"/>
      <w:szCs w:val="20"/>
    </w:rPr>
  </w:style>
  <w:style w:type="paragraph" w:customStyle="1" w:styleId="FocusGroupBox">
    <w:name w:val="Focus Group Box"/>
    <w:basedOn w:val="Normal"/>
    <w:uiPriority w:val="99"/>
    <w:rsid w:val="00DD4389"/>
    <w:pPr>
      <w:spacing w:before="120"/>
      <w:ind w:left="72" w:hanging="72"/>
    </w:pPr>
    <w:rPr>
      <w:rFonts w:ascii="News Gothic MT Cn" w:hAnsi="News Gothic MT Cn"/>
      <w:sz w:val="22"/>
      <w:szCs w:val="20"/>
    </w:rPr>
  </w:style>
  <w:style w:type="paragraph" w:styleId="ListParagraph">
    <w:name w:val="List Paragraph"/>
    <w:basedOn w:val="Normal"/>
    <w:uiPriority w:val="99"/>
    <w:qFormat/>
    <w:rsid w:val="001F3517"/>
    <w:pPr>
      <w:ind w:left="720"/>
    </w:pPr>
  </w:style>
  <w:style w:type="character" w:styleId="Hyperlink">
    <w:name w:val="Hyperlink"/>
    <w:basedOn w:val="DefaultParagraphFont"/>
    <w:uiPriority w:val="99"/>
    <w:rsid w:val="005C3F37"/>
    <w:rPr>
      <w:rFonts w:cs="Times New Roman"/>
      <w:color w:val="0000FF"/>
      <w:u w:val="single"/>
    </w:rPr>
  </w:style>
  <w:style w:type="paragraph" w:styleId="Header">
    <w:name w:val="header"/>
    <w:basedOn w:val="Normal"/>
    <w:link w:val="HeaderChar"/>
    <w:uiPriority w:val="99"/>
    <w:rsid w:val="009055B4"/>
    <w:pPr>
      <w:tabs>
        <w:tab w:val="center" w:pos="4320"/>
        <w:tab w:val="right" w:pos="8640"/>
      </w:tabs>
    </w:pPr>
  </w:style>
  <w:style w:type="character" w:customStyle="1" w:styleId="HeaderChar">
    <w:name w:val="Header Char"/>
    <w:basedOn w:val="DefaultParagraphFont"/>
    <w:link w:val="Header"/>
    <w:uiPriority w:val="99"/>
    <w:semiHidden/>
    <w:locked/>
    <w:rsid w:val="00EA085B"/>
    <w:rPr>
      <w:rFonts w:cs="Times New Roman"/>
      <w:sz w:val="24"/>
      <w:szCs w:val="24"/>
    </w:rPr>
  </w:style>
  <w:style w:type="paragraph" w:styleId="Footer">
    <w:name w:val="footer"/>
    <w:basedOn w:val="Normal"/>
    <w:link w:val="FooterChar"/>
    <w:autoRedefine/>
    <w:uiPriority w:val="99"/>
    <w:qFormat/>
    <w:rsid w:val="00FC1890"/>
    <w:pPr>
      <w:tabs>
        <w:tab w:val="center" w:pos="4320"/>
        <w:tab w:val="right" w:pos="8640"/>
      </w:tabs>
    </w:pPr>
    <w:rPr>
      <w:sz w:val="20"/>
    </w:rPr>
  </w:style>
  <w:style w:type="character" w:customStyle="1" w:styleId="FooterChar">
    <w:name w:val="Footer Char"/>
    <w:basedOn w:val="DefaultParagraphFont"/>
    <w:link w:val="Footer"/>
    <w:uiPriority w:val="99"/>
    <w:locked/>
    <w:rsid w:val="00FC1890"/>
    <w:rPr>
      <w:rFonts w:asciiTheme="minorHAnsi" w:hAnsiTheme="minorHAnsi"/>
      <w:sz w:val="20"/>
      <w:szCs w:val="24"/>
    </w:rPr>
  </w:style>
  <w:style w:type="character" w:styleId="CommentReference">
    <w:name w:val="annotation reference"/>
    <w:basedOn w:val="DefaultParagraphFont"/>
    <w:uiPriority w:val="99"/>
    <w:semiHidden/>
    <w:unhideWhenUsed/>
    <w:rsid w:val="00380BD1"/>
    <w:rPr>
      <w:sz w:val="16"/>
      <w:szCs w:val="16"/>
    </w:rPr>
  </w:style>
  <w:style w:type="paragraph" w:styleId="CommentText">
    <w:name w:val="annotation text"/>
    <w:basedOn w:val="Normal"/>
    <w:link w:val="CommentTextChar"/>
    <w:uiPriority w:val="99"/>
    <w:semiHidden/>
    <w:unhideWhenUsed/>
    <w:rsid w:val="00380BD1"/>
    <w:rPr>
      <w:sz w:val="20"/>
      <w:szCs w:val="20"/>
    </w:rPr>
  </w:style>
  <w:style w:type="character" w:customStyle="1" w:styleId="CommentTextChar">
    <w:name w:val="Comment Text Char"/>
    <w:basedOn w:val="DefaultParagraphFont"/>
    <w:link w:val="CommentText"/>
    <w:uiPriority w:val="99"/>
    <w:semiHidden/>
    <w:rsid w:val="00380BD1"/>
    <w:rPr>
      <w:sz w:val="20"/>
      <w:szCs w:val="20"/>
    </w:rPr>
  </w:style>
  <w:style w:type="paragraph" w:styleId="CommentSubject">
    <w:name w:val="annotation subject"/>
    <w:basedOn w:val="CommentText"/>
    <w:next w:val="CommentText"/>
    <w:link w:val="CommentSubjectChar"/>
    <w:uiPriority w:val="99"/>
    <w:semiHidden/>
    <w:unhideWhenUsed/>
    <w:rsid w:val="00380BD1"/>
    <w:rPr>
      <w:b/>
      <w:bCs/>
    </w:rPr>
  </w:style>
  <w:style w:type="character" w:customStyle="1" w:styleId="CommentSubjectChar">
    <w:name w:val="Comment Subject Char"/>
    <w:basedOn w:val="CommentTextChar"/>
    <w:link w:val="CommentSubject"/>
    <w:uiPriority w:val="99"/>
    <w:semiHidden/>
    <w:rsid w:val="00380BD1"/>
    <w:rPr>
      <w:b/>
      <w:bCs/>
      <w:sz w:val="20"/>
      <w:szCs w:val="20"/>
    </w:rPr>
  </w:style>
  <w:style w:type="character" w:styleId="Strong">
    <w:name w:val="Strong"/>
    <w:basedOn w:val="DefaultParagraphFont"/>
    <w:qFormat/>
    <w:locked/>
    <w:rsid w:val="00FC1890"/>
    <w:rPr>
      <w:b/>
      <w:bCs/>
    </w:rPr>
  </w:style>
  <w:style w:type="paragraph" w:styleId="Title">
    <w:name w:val="Title"/>
    <w:basedOn w:val="Normal"/>
    <w:next w:val="Normal"/>
    <w:link w:val="TitleChar"/>
    <w:qFormat/>
    <w:locked/>
    <w:rsid w:val="00FC1890"/>
    <w:pPr>
      <w:jc w:val="center"/>
    </w:pPr>
    <w:rPr>
      <w:rFonts w:ascii="Lucida Bright" w:hAnsi="Lucida Bright"/>
      <w:b/>
      <w:sz w:val="32"/>
      <w:szCs w:val="32"/>
    </w:rPr>
  </w:style>
  <w:style w:type="character" w:customStyle="1" w:styleId="TitleChar">
    <w:name w:val="Title Char"/>
    <w:basedOn w:val="DefaultParagraphFont"/>
    <w:link w:val="Title"/>
    <w:rsid w:val="00FC1890"/>
    <w:rPr>
      <w:rFonts w:ascii="Lucida Bright" w:hAnsi="Lucida Bright"/>
      <w:b/>
      <w:sz w:val="32"/>
      <w:szCs w:val="32"/>
    </w:rPr>
  </w:style>
  <w:style w:type="character" w:styleId="FollowedHyperlink">
    <w:name w:val="FollowedHyperlink"/>
    <w:basedOn w:val="DefaultParagraphFont"/>
    <w:uiPriority w:val="99"/>
    <w:semiHidden/>
    <w:unhideWhenUsed/>
    <w:rsid w:val="00E94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888">
      <w:bodyDiv w:val="1"/>
      <w:marLeft w:val="0"/>
      <w:marRight w:val="0"/>
      <w:marTop w:val="0"/>
      <w:marBottom w:val="0"/>
      <w:divBdr>
        <w:top w:val="none" w:sz="0" w:space="0" w:color="auto"/>
        <w:left w:val="none" w:sz="0" w:space="0" w:color="auto"/>
        <w:bottom w:val="none" w:sz="0" w:space="0" w:color="auto"/>
        <w:right w:val="none" w:sz="0" w:space="0" w:color="auto"/>
      </w:divBdr>
    </w:div>
    <w:div w:id="1542598591">
      <w:bodyDiv w:val="1"/>
      <w:marLeft w:val="0"/>
      <w:marRight w:val="0"/>
      <w:marTop w:val="0"/>
      <w:marBottom w:val="0"/>
      <w:divBdr>
        <w:top w:val="none" w:sz="0" w:space="0" w:color="auto"/>
        <w:left w:val="none" w:sz="0" w:space="0" w:color="auto"/>
        <w:bottom w:val="none" w:sz="0" w:space="0" w:color="auto"/>
        <w:right w:val="none" w:sz="0" w:space="0" w:color="auto"/>
      </w:divBdr>
    </w:div>
    <w:div w:id="205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vpscentre.utoronto.ca/" TargetMode="External"/><Relationship Id="rId18" Type="http://schemas.openxmlformats.org/officeDocument/2006/relationships/hyperlink" Target="https://learningabroad.utoronto.ca/" TargetMode="External"/><Relationship Id="rId26" Type="http://schemas.openxmlformats.org/officeDocument/2006/relationships/hyperlink" Target="https://studentlife.utoronto.ca/department/multi-faith-centre-for-spiritual-study-practice/" TargetMode="External"/><Relationship Id="rId21" Type="http://schemas.openxmlformats.org/officeDocument/2006/relationships/hyperlink" Target="https://studentlife.utoronto.ca/department/accessibility-services/" TargetMode="External"/><Relationship Id="rId34"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https://studentlife.utoronto.ca/department/health-wellness/" TargetMode="External"/><Relationship Id="rId17" Type="http://schemas.openxmlformats.org/officeDocument/2006/relationships/hyperlink" Target="https://studentlife.utoronto.ca/department/career-exploration-education/" TargetMode="External"/><Relationship Id="rId25" Type="http://schemas.openxmlformats.org/officeDocument/2006/relationships/hyperlink" Target="https://harthouse.ca/" TargetMode="External"/><Relationship Id="rId33" Type="http://schemas.openxmlformats.org/officeDocument/2006/relationships/hyperlink" Target="https://www.cgpd.utoronto.ca/grad-room/" TargetMode="External"/><Relationship Id="rId2" Type="http://schemas.openxmlformats.org/officeDocument/2006/relationships/customXml" Target="../customXml/item2.xml"/><Relationship Id="rId16" Type="http://schemas.openxmlformats.org/officeDocument/2006/relationships/hyperlink" Target="https://studentlife.utoronto.ca/department/academic-success/" TargetMode="External"/><Relationship Id="rId20" Type="http://schemas.openxmlformats.org/officeDocument/2006/relationships/hyperlink" Target="https://internationalexperience.utoronto.ca/international-student-services/" TargetMode="External"/><Relationship Id="rId29" Type="http://schemas.openxmlformats.org/officeDocument/2006/relationships/hyperlink" Target="https://studentlife.utoronto.ca/department/orientation-transition-engag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gs.utoronto.ca/" TargetMode="External"/><Relationship Id="rId24" Type="http://schemas.openxmlformats.org/officeDocument/2006/relationships/hyperlink" Target="https://sgdo.utoronto.ca/" TargetMode="External"/><Relationship Id="rId32" Type="http://schemas.openxmlformats.org/officeDocument/2006/relationships/hyperlink" Target="https://www.sgs.utoronto.ca/current-student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udentlife.utoronto.ca/department/housing/" TargetMode="External"/><Relationship Id="rId23" Type="http://schemas.openxmlformats.org/officeDocument/2006/relationships/hyperlink" Target="https://studentlife.utoronto.ca/department/first-nations-house/" TargetMode="External"/><Relationship Id="rId28" Type="http://schemas.openxmlformats.org/officeDocument/2006/relationships/hyperlink" Target="https://kpe.utoronto.ca/welcome-sport-rec-u-t" TargetMode="External"/><Relationship Id="rId36" Type="http://schemas.openxmlformats.org/officeDocument/2006/relationships/fontTable" Target="fontTable.xml"/><Relationship Id="rId10" Type="http://schemas.openxmlformats.org/officeDocument/2006/relationships/hyperlink" Target="https://studentlife.utoronto.ca/" TargetMode="External"/><Relationship Id="rId19" Type="http://schemas.openxmlformats.org/officeDocument/2006/relationships/hyperlink" Target="https://safetyabroad.utoronto.ca/" TargetMode="External"/><Relationship Id="rId31" Type="http://schemas.openxmlformats.org/officeDocument/2006/relationships/hyperlink" Target="https://studentlife.utoronto.ca/program/gradlif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alhealth.utoronto.ca/my-student-support-program/" TargetMode="External"/><Relationship Id="rId22" Type="http://schemas.openxmlformats.org/officeDocument/2006/relationships/hyperlink" Target="https://familycare.utoronto.ca/students/" TargetMode="External"/><Relationship Id="rId27" Type="http://schemas.openxmlformats.org/officeDocument/2006/relationships/hyperlink" Target="https://studentlife.utoronto.ca/department/clubs-leadership-development/" TargetMode="External"/><Relationship Id="rId30" Type="http://schemas.openxmlformats.org/officeDocument/2006/relationships/hyperlink" Target="https://studentlife.utoronto.ca/department/mentorship-peer-program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c8f67e0-12c7-4ba7-be8a-aab2cef0f037"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12" ma:contentTypeDescription="Create a new document." ma:contentTypeScope="" ma:versionID="bc9d4405de04d8a9d8935140e09aaef7">
  <xsd:schema xmlns:xsd="http://www.w3.org/2001/XMLSchema" xmlns:xs="http://www.w3.org/2001/XMLSchema" xmlns:p="http://schemas.microsoft.com/office/2006/metadata/properties" xmlns:ns2="fc8f67e0-12c7-4ba7-be8a-aab2cef0f037" xmlns:ns3="http://schemas.microsoft.com/sharepoint/v4" targetNamespace="http://schemas.microsoft.com/office/2006/metadata/properties" ma:root="true" ma:fieldsID="2b47a8f1437cefe6b4ef7f4ad955f61e" ns2:_="" ns3:_="">
    <xsd:import namespace="fc8f67e0-12c7-4ba7-be8a-aab2cef0f03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DF4FC-2FC8-494F-B864-1E51B5F983EE}">
  <ds:schemaRef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54011191-a823-406d-8123-82e8190d970b"/>
    <ds:schemaRef ds:uri="52f1014f-0534-46f4-a406-934a68d4167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DFA3DCC-9E25-42EF-86EC-28ACC86AF3A1}"/>
</file>

<file path=customXml/itemProps3.xml><?xml version="1.0" encoding="utf-8"?>
<ds:datastoreItem xmlns:ds="http://schemas.openxmlformats.org/officeDocument/2006/customXml" ds:itemID="{0FB745CA-EAC7-4405-A17B-3DDE2124A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Student service information for Quality Assurance Framework</vt:lpstr>
    </vt:vector>
  </TitlesOfParts>
  <Company>University of Toronto</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service information for Quality Assurance Framework</dc:title>
  <dc:subject/>
  <dc:creator>Deanne Fisher</dc:creator>
  <cp:keywords/>
  <cp:lastModifiedBy>Karen Shim</cp:lastModifiedBy>
  <cp:revision>2</cp:revision>
  <cp:lastPrinted>2017-02-17T22:45:00Z</cp:lastPrinted>
  <dcterms:created xsi:type="dcterms:W3CDTF">2022-05-03T14:50:00Z</dcterms:created>
  <dcterms:modified xsi:type="dcterms:W3CDTF">2022-05-03T14:50:00Z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Division (Test Column)">
    <vt:lpwstr/>
  </property>
</Properties>
</file>